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1"/>
        <w:tblW w:w="3396" w:type="dxa"/>
        <w:tblInd w:w="6262" w:type="dxa"/>
        <w:tblLook w:val="04A0" w:firstRow="1" w:lastRow="0" w:firstColumn="1" w:lastColumn="0" w:noHBand="0" w:noVBand="1"/>
      </w:tblPr>
      <w:tblGrid>
        <w:gridCol w:w="3396"/>
      </w:tblGrid>
      <w:tr w:rsidR="006A2926" w:rsidRPr="00C764B5" w14:paraId="3239799C" w14:textId="77777777" w:rsidTr="00312365">
        <w:tc>
          <w:tcPr>
            <w:tcW w:w="3396" w:type="dxa"/>
            <w:tcBorders>
              <w:top w:val="nil"/>
              <w:left w:val="nil"/>
              <w:bottom w:val="nil"/>
              <w:right w:val="nil"/>
            </w:tcBorders>
          </w:tcPr>
          <w:p w14:paraId="20AD44EA" w14:textId="47D51943" w:rsidR="006A2926" w:rsidRPr="00C764B5" w:rsidRDefault="006A2926" w:rsidP="00312365">
            <w:pPr>
              <w:ind w:hanging="138"/>
              <w:jc w:val="center"/>
              <w:rPr>
                <w:sz w:val="28"/>
                <w:szCs w:val="28"/>
              </w:rPr>
            </w:pPr>
            <w:bookmarkStart w:id="0" w:name="_Hlk173418860"/>
            <w:bookmarkStart w:id="1" w:name="z117"/>
            <w:r w:rsidRPr="00C764B5">
              <w:rPr>
                <w:sz w:val="28"/>
                <w:szCs w:val="28"/>
              </w:rPr>
              <w:t xml:space="preserve">Приложение </w:t>
            </w:r>
            <w:r w:rsidR="00FC0F15">
              <w:rPr>
                <w:sz w:val="28"/>
                <w:szCs w:val="28"/>
              </w:rPr>
              <w:t xml:space="preserve">1 </w:t>
            </w:r>
            <w:r w:rsidRPr="00C764B5">
              <w:rPr>
                <w:sz w:val="28"/>
                <w:szCs w:val="28"/>
              </w:rPr>
              <w:t>к приказу</w:t>
            </w:r>
          </w:p>
        </w:tc>
      </w:tr>
    </w:tbl>
    <w:p w14:paraId="61FB1CC7" w14:textId="77777777" w:rsidR="006A2926" w:rsidRPr="00C764B5" w:rsidRDefault="006A2926" w:rsidP="006A2926">
      <w:pPr>
        <w:spacing w:after="0" w:line="240" w:lineRule="auto"/>
        <w:ind w:left="6379"/>
        <w:jc w:val="center"/>
        <w:rPr>
          <w:sz w:val="28"/>
          <w:szCs w:val="28"/>
          <w:lang w:val="ru-RU"/>
        </w:rPr>
      </w:pPr>
    </w:p>
    <w:p w14:paraId="5E070C54" w14:textId="7EE0A32D" w:rsidR="00771E83" w:rsidRPr="00771E83" w:rsidRDefault="00771E83" w:rsidP="00771E83">
      <w:pPr>
        <w:spacing w:after="0" w:line="240" w:lineRule="auto"/>
        <w:ind w:left="5812" w:firstLine="284"/>
        <w:jc w:val="center"/>
        <w:rPr>
          <w:bCs/>
          <w:sz w:val="28"/>
          <w:szCs w:val="28"/>
          <w:lang w:val="ru-RU"/>
        </w:rPr>
      </w:pPr>
      <w:r w:rsidRPr="00771E83">
        <w:rPr>
          <w:bCs/>
          <w:sz w:val="28"/>
          <w:szCs w:val="28"/>
          <w:lang w:val="ru-RU"/>
        </w:rPr>
        <w:t>Приложение 1</w:t>
      </w:r>
      <w:r>
        <w:rPr>
          <w:bCs/>
          <w:sz w:val="28"/>
          <w:szCs w:val="28"/>
          <w:lang w:val="ru-RU"/>
        </w:rPr>
        <w:br/>
      </w:r>
      <w:r w:rsidRPr="00771E83">
        <w:rPr>
          <w:bCs/>
          <w:sz w:val="28"/>
          <w:szCs w:val="28"/>
          <w:lang w:val="ru-RU"/>
        </w:rPr>
        <w:t>к процедурному стандарту</w:t>
      </w:r>
      <w:r>
        <w:rPr>
          <w:bCs/>
          <w:sz w:val="28"/>
          <w:szCs w:val="28"/>
          <w:lang w:val="ru-RU"/>
        </w:rPr>
        <w:br/>
      </w:r>
      <w:r w:rsidRPr="00771E83">
        <w:rPr>
          <w:bCs/>
          <w:sz w:val="28"/>
          <w:szCs w:val="28"/>
          <w:lang w:val="ru-RU"/>
        </w:rPr>
        <w:t>внутреннего государственного</w:t>
      </w:r>
      <w:r>
        <w:rPr>
          <w:bCs/>
          <w:sz w:val="28"/>
          <w:szCs w:val="28"/>
          <w:lang w:val="ru-RU"/>
        </w:rPr>
        <w:br/>
      </w:r>
      <w:r w:rsidRPr="00771E83">
        <w:rPr>
          <w:bCs/>
          <w:sz w:val="28"/>
          <w:szCs w:val="28"/>
          <w:lang w:val="ru-RU"/>
        </w:rPr>
        <w:t>аудита и финансового контроля</w:t>
      </w:r>
      <w:r>
        <w:rPr>
          <w:bCs/>
          <w:sz w:val="28"/>
          <w:szCs w:val="28"/>
          <w:lang w:val="ru-RU"/>
        </w:rPr>
        <w:br/>
      </w:r>
      <w:r w:rsidRPr="00771E83">
        <w:rPr>
          <w:bCs/>
          <w:sz w:val="28"/>
          <w:szCs w:val="28"/>
          <w:lang w:val="ru-RU"/>
        </w:rPr>
        <w:t>«Аудит соответствия»</w:t>
      </w:r>
    </w:p>
    <w:p w14:paraId="4F70CCBB" w14:textId="77777777" w:rsidR="00771E83" w:rsidRPr="00CC2236" w:rsidRDefault="00771E83" w:rsidP="00771E83">
      <w:pPr>
        <w:spacing w:after="0" w:line="240" w:lineRule="auto"/>
        <w:ind w:firstLine="709"/>
        <w:jc w:val="center"/>
        <w:rPr>
          <w:bCs/>
          <w:sz w:val="20"/>
          <w:szCs w:val="20"/>
          <w:lang w:val="ru-RU"/>
        </w:rPr>
      </w:pPr>
    </w:p>
    <w:p w14:paraId="51D301F3" w14:textId="77777777" w:rsidR="004A79A6" w:rsidRPr="00C764B5" w:rsidRDefault="004A79A6" w:rsidP="004A79A6">
      <w:pPr>
        <w:spacing w:after="0" w:line="240" w:lineRule="auto"/>
        <w:ind w:firstLine="709"/>
        <w:jc w:val="center"/>
        <w:rPr>
          <w:sz w:val="20"/>
          <w:szCs w:val="20"/>
          <w:lang w:val="ru-RU"/>
        </w:rPr>
      </w:pPr>
    </w:p>
    <w:p w14:paraId="6E2EDF7E" w14:textId="77777777" w:rsidR="00771E83" w:rsidRPr="00771E83" w:rsidRDefault="00771E83" w:rsidP="00771E83">
      <w:pPr>
        <w:spacing w:after="0" w:line="240" w:lineRule="auto"/>
        <w:ind w:firstLine="709"/>
        <w:jc w:val="center"/>
        <w:rPr>
          <w:b/>
          <w:sz w:val="20"/>
          <w:szCs w:val="20"/>
          <w:lang w:val="ru-RU" w:eastAsia="ru-RU"/>
        </w:rPr>
      </w:pPr>
      <w:r w:rsidRPr="00771E83">
        <w:rPr>
          <w:b/>
          <w:sz w:val="20"/>
          <w:szCs w:val="20"/>
          <w:lang w:val="ru-RU" w:eastAsia="ru-RU"/>
        </w:rPr>
        <w:t>Требования к проведению аудита соответствия по направлениям аудита соответствия</w:t>
      </w:r>
    </w:p>
    <w:p w14:paraId="1FA68485" w14:textId="1E39C36A" w:rsidR="004A79A6" w:rsidRDefault="004A79A6" w:rsidP="004A79A6">
      <w:pPr>
        <w:spacing w:after="0" w:line="240" w:lineRule="auto"/>
        <w:ind w:firstLine="709"/>
        <w:jc w:val="center"/>
        <w:rPr>
          <w:b/>
          <w:sz w:val="20"/>
          <w:szCs w:val="20"/>
          <w:lang w:val="ru-RU" w:eastAsia="ru-RU"/>
        </w:rPr>
      </w:pPr>
    </w:p>
    <w:p w14:paraId="290A7082" w14:textId="77777777" w:rsidR="00771E83" w:rsidRPr="00C764B5" w:rsidRDefault="00771E83" w:rsidP="004A79A6">
      <w:pPr>
        <w:spacing w:after="0" w:line="240" w:lineRule="auto"/>
        <w:ind w:firstLine="709"/>
        <w:jc w:val="center"/>
        <w:rPr>
          <w:b/>
          <w:sz w:val="20"/>
          <w:szCs w:val="20"/>
          <w:lang w:val="ru-RU" w:eastAsia="ru-RU"/>
        </w:rPr>
      </w:pPr>
    </w:p>
    <w:bookmarkEnd w:id="0"/>
    <w:bookmarkEnd w:id="1"/>
    <w:p w14:paraId="039BE02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Государственный аудитор осуществляет аудит соответствия по направлениям:</w:t>
      </w:r>
    </w:p>
    <w:p w14:paraId="0DF1CB6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1) расходов, связанных с корректировкой технико-экономического обоснования (далее – ТЭО), финансово-экономического обоснования (далее – ФЭО) и сметной стоимости бюджетных инвестиций.</w:t>
      </w:r>
    </w:p>
    <w:p w14:paraId="1014BC2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При проведении аудита соответствия расходов, связанных с корректировкой ТЭО и ФЭО, государственный аудитор проверяет:</w:t>
      </w:r>
    </w:p>
    <w:p w14:paraId="0682210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основания для планирования государственных инвестиционных проектов (государственные, отраслевые программы и программы развития территорий на основании экономического заключения на инвестиционное предложение), критериев определения источников и способа реализации проекта;</w:t>
      </w:r>
    </w:p>
    <w:p w14:paraId="493A81C8"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отраслевого заключения;</w:t>
      </w:r>
    </w:p>
    <w:p w14:paraId="6491A6E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положительного экономического заключения на инвестиционное предложение государственного инвестиционного проекта о целесообразности дальнейшей реализации бюджетного инвестиционного проекта;</w:t>
      </w:r>
    </w:p>
    <w:p w14:paraId="42BBDBAE"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утвержденного в установленном порядке ТЭО бюджетного инвестиционного проекта, за исключением проектов, не требующих разработки ТЭО;</w:t>
      </w:r>
    </w:p>
    <w:p w14:paraId="3BE7892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положительного предложения соответствующей бюджетной комиссии;</w:t>
      </w:r>
    </w:p>
    <w:p w14:paraId="3C85D9C3"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оценку реализации бюджетных инвестиционных проектов на основании годового отчета по итогам мониторинга администраторов республиканских бюджетных программ;</w:t>
      </w:r>
    </w:p>
    <w:p w14:paraId="75FFEEF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иные вопросы в рамках проводимого аудита в зависимости от специфики деятельности объекта государственного аудита;</w:t>
      </w:r>
    </w:p>
    <w:p w14:paraId="767EA35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2) использования средств республиканского и местных бюджетов.</w:t>
      </w:r>
    </w:p>
    <w:p w14:paraId="734D09F5"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При проведении аудита соответствия использования средств республиканского и местных бюджетов государственный аудитор проверяет:</w:t>
      </w:r>
    </w:p>
    <w:p w14:paraId="6D83F59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средства, полученные по внешним правительственным займам, связанным грантам, предусмотренные в республиканском бюджете и использованные в порядке его исполнения, в соответствии с Законом Республики Казахстан о республиканском бюджете на соответствующий финансовый год;</w:t>
      </w:r>
    </w:p>
    <w:p w14:paraId="276B1142"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соблюдение требований, установленных Правилами:</w:t>
      </w:r>
    </w:p>
    <w:p w14:paraId="5181DE4D"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исполнения бюджета и его кассового обслуживания (далее – Правила исполнения бюджета) на 2025 финансовый год, утвержденными приказом Министра финансов Республики Казахстан от 30 мая 2025 года № 272;</w:t>
      </w:r>
    </w:p>
    <w:p w14:paraId="7E3A1B31"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процедурами казначейского исполнения бюджета и их кассового обслуживания, процедурами казначейского учета и мониторинга, утвержденными приказом Министра финансов Республики Казахстан от 27 июня 2025 года № 328;</w:t>
      </w:r>
    </w:p>
    <w:p w14:paraId="1632243C" w14:textId="20AD0660"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привлечения займов от имени Правительства Республики Казахстан,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1CA4C7F9" w14:textId="5D28D811"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выпуска ценных бумаг для обращения на внутреннем рынке местным исполнительным органом области, города республиканского значения, столицы,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78985B71" w14:textId="313FB3F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отбора инвестиционных проектов для предоставления государственных гарантий,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07F902E7" w14:textId="521F065C"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lastRenderedPageBreak/>
        <w:t>правилами предоставления государственных гарантий,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76F10D57" w14:textId="478E3D2C"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мониторинга финансового состояния заемщика, получившего гарантированный государством заем, и контроля за использованием средств гарантированного государством займа,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1899B001" w14:textId="7658E1B4"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 xml:space="preserve">правилами предоставления поручительства государства Республики Казахстан, а также возврата средств республиканского бюджета, выделенных на исполнение обязательств по поручительству государства,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w:t>
      </w:r>
      <w:r w:rsidRPr="00DC2A76">
        <w:rPr>
          <w:sz w:val="20"/>
          <w:szCs w:val="20"/>
          <w:lang w:val="ru-RU"/>
        </w:rPr>
        <w:br/>
        <w:t>№ 36364);</w:t>
      </w:r>
    </w:p>
    <w:p w14:paraId="5B01D155"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погашения и обслуживания долга Правительства Республики Казахстан, покупки выпущенных им государственных ценных бумаг на организованном рынке ценных бумаг,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6FC881D8"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погашения и обслуживания долга местных исполнительных органов,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7A2A1EBF"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мониторинга государственного и гарантированного государством долга, долга по поручительствам государства, утвержденными приказом Министра финансов Республики Казахстан от 30 июня 2025 года № 331 (зарегистрирован в Реестре государственной регистрации нормативных правовых актов за № 36364);</w:t>
      </w:r>
    </w:p>
    <w:p w14:paraId="3CEA7927"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процедурами по предоставлению бюджетных кредитов, в том числе перечень документов, необходимых при их представлении, а также способы предоставления бюджетного кредита, график погашения и обслуживания бюджетного кредита, процедуры реструктуризации бюджетного кредита и замены заемщика, условия исковой давности, условия перевода долга по бюджетному кредиту, прекращение требований кредиторов и прекращение гарантии по бюджетным кредитам, процедуры контроля по бюджетным кредитам, утвержденными приказом Министра финансов Республики Казахстан от 26 июня 2025 года № 325 (зарегистрирован в Реестре государственной регистрации нормативных правовых актов за № 36331);</w:t>
      </w:r>
    </w:p>
    <w:p w14:paraId="0A369913"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определения полномочий поверенного (агента), размер и условия оплаты его вознаграждения, утвержденными приказом Министра финансов Республики Казахстан от 26 июня 2025 года № 325 (зарегистрирован в Реестре государственной регистрации нормативных правовых актов за</w:t>
      </w:r>
      <w:r w:rsidRPr="00DC2A76">
        <w:rPr>
          <w:sz w:val="20"/>
          <w:szCs w:val="20"/>
          <w:lang w:val="ru-RU"/>
        </w:rPr>
        <w:br/>
        <w:t>№ 36331);</w:t>
      </w:r>
    </w:p>
    <w:p w14:paraId="6B9B2173"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осуществления контроля за использованием бюджетных кредитов по целевому назначению и наличием обеспечения исполнения обязательств по нему, утвержденными приказом Министра финансов Республики Казахстан от 26 июня 2025 года № 325 (зарегистрирован в Реестре государственной регистрации нормативных правовых актов за № 36331);</w:t>
      </w:r>
    </w:p>
    <w:p w14:paraId="395F37C8" w14:textId="4CF85FD5"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критериями кредитоспособности заемщика, утвержденными приказом Министра финансов Республики Казахстан от 26 июня 2025 года № 325 (зарегистрирован в Реестре государственной регистрации нормативных правовых актов за № 36331);</w:t>
      </w:r>
    </w:p>
    <w:p w14:paraId="14EBC901"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включения финансовых агентств в перечень финансовых агентств, получающих бюджетных кредитов из республиканского бюджета без обеспечения исполнения обязательств, утвержденными приказом Министра финансов Республики Казахстан от 26 июня 2025 года № 325 (зарегистрирован в Реестре государственной регистрации нормативных правовых актов за № 36331);</w:t>
      </w:r>
    </w:p>
    <w:p w14:paraId="348ADA92" w14:textId="77777777"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правилами составления консолидированной финансовой отчетности администраторами бюджетных программ и местными уполномоченными органами по исполнению бюджета утвержденным приказом Министра финансов Республики Казахстан от 15 мая 2025 года № 229;</w:t>
      </w:r>
    </w:p>
    <w:p w14:paraId="4DEFD726" w14:textId="4E65F663" w:rsidR="00D81A33" w:rsidRPr="00DC2A76" w:rsidRDefault="00D81A33" w:rsidP="00D81A33">
      <w:pPr>
        <w:tabs>
          <w:tab w:val="left" w:pos="0"/>
        </w:tabs>
        <w:spacing w:after="0" w:line="240" w:lineRule="auto"/>
        <w:ind w:firstLine="709"/>
        <w:jc w:val="both"/>
        <w:rPr>
          <w:sz w:val="20"/>
          <w:szCs w:val="20"/>
          <w:lang w:val="ru-RU"/>
        </w:rPr>
      </w:pPr>
      <w:r w:rsidRPr="00DC2A76">
        <w:rPr>
          <w:sz w:val="20"/>
          <w:szCs w:val="20"/>
          <w:lang w:val="ru-RU"/>
        </w:rPr>
        <w:t>формами и Правилами составления и представления финансовой отчетности «Об утверждении форм и правил составления и представления финансовой отчетности утвержденным приказом Министра финансов Республики Казахстан от 15 мая 2025 года № 230;</w:t>
      </w:r>
    </w:p>
    <w:p w14:paraId="23D5EFC5" w14:textId="664507BF" w:rsidR="00771E83" w:rsidRPr="00DC2A76" w:rsidRDefault="003B6C16" w:rsidP="00D81A33">
      <w:pPr>
        <w:tabs>
          <w:tab w:val="left" w:pos="0"/>
        </w:tabs>
        <w:spacing w:after="0" w:line="240" w:lineRule="auto"/>
        <w:ind w:firstLine="709"/>
        <w:jc w:val="both"/>
        <w:rPr>
          <w:sz w:val="20"/>
          <w:szCs w:val="20"/>
          <w:lang w:val="ru-RU"/>
        </w:rPr>
      </w:pPr>
      <w:hyperlink r:id="rId7" w:anchor="z7" w:history="1">
        <w:r w:rsidR="00D81A33" w:rsidRPr="00DC2A76">
          <w:rPr>
            <w:rStyle w:val="ab"/>
            <w:sz w:val="20"/>
            <w:szCs w:val="20"/>
            <w:lang w:val="ru-RU"/>
          </w:rPr>
          <w:t>правилами</w:t>
        </w:r>
      </w:hyperlink>
      <w:r w:rsidR="00D81A33" w:rsidRPr="00DC2A76">
        <w:rPr>
          <w:sz w:val="20"/>
          <w:szCs w:val="20"/>
          <w:lang w:val="ru-RU"/>
        </w:rPr>
        <w:t xml:space="preserve"> составления и представления бюджетной отчетности государственными учреждениями, администраторами бюджетных программ и уполномоченными органами по исполнению бюджета (далее – Правила составления и представления бюджетной отчетности государственными учреждениями, администраторами бюджетных программ, уполномоченными органами по исполнению бюджета и аппаратами акимов городов районного значения, сел, поселков, сельских округов), утвержденными приказом Министра финансов Республики Казахстан от 28 мая 2025 года № 262</w:t>
      </w:r>
      <w:r w:rsidR="00771E83" w:rsidRPr="00DC2A76">
        <w:rPr>
          <w:sz w:val="20"/>
          <w:szCs w:val="20"/>
          <w:lang w:val="ru-RU"/>
        </w:rPr>
        <w:t>;</w:t>
      </w:r>
    </w:p>
    <w:p w14:paraId="615C164E"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формирование и своевременное утверждение планов финансирования бюджетной программы;</w:t>
      </w:r>
    </w:p>
    <w:p w14:paraId="24D0A1F4"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lastRenderedPageBreak/>
        <w:t>превышение фонда оплаты труда консультантов лимита, предусмотренного в соглашении о займе и/или в соответствующих нормативных правовых актах, анализ их работы;</w:t>
      </w:r>
    </w:p>
    <w:p w14:paraId="72E1CB87"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своевременность и полноту поставки, предусмотренных контрактами оборудования, товарно-материальных ценностей и услуг;</w:t>
      </w:r>
    </w:p>
    <w:p w14:paraId="5B49FB98"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отражение на балансе объекта контроля имущества и услуг, полученных по займу, а также обязательств перед банком-кредитором и/или республиканским бюджетом;</w:t>
      </w:r>
    </w:p>
    <w:p w14:paraId="4045D24E"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средства, полученные по государственному заданию, их использование в соответствии с бюджетным законодательством;</w:t>
      </w:r>
    </w:p>
    <w:p w14:paraId="51A1DD3E"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средства, полученные по государственному заказу, соблюдение порядка их использования в соответствии с бюджетным законодательством и договорными обязательствами, достижение запланированных показателей;</w:t>
      </w:r>
    </w:p>
    <w:p w14:paraId="49B1645F"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прочие средства, полученные из государственного бюджета, управление и порядок их использования;</w:t>
      </w:r>
    </w:p>
    <w:p w14:paraId="356469FA"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 xml:space="preserve">3) соблюдения условий и процедур, а также использования бюджетных кредитов. </w:t>
      </w:r>
    </w:p>
    <w:p w14:paraId="68427103"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При проведении аудита соответствия соблюдения условий и процедур, а также использования бюджетных кредитов государственный аудитор проверяет:</w:t>
      </w:r>
    </w:p>
    <w:p w14:paraId="57F66E15"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при кредитовании заемщиков целевое использование средств (производится встречный контроль);</w:t>
      </w:r>
    </w:p>
    <w:p w14:paraId="23EA0E59"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кредитора, представивший заем, размер и условия займа (процентная ставка, сроки действия займа, прочие обязательства, вытекающие из условий договора займа), целевое использование, источники погашения;</w:t>
      </w:r>
    </w:p>
    <w:p w14:paraId="65352354"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своевременность и полноту поставки, предусмотренных контрактами оборудования, товарно-материальных ценностей и услуг;</w:t>
      </w:r>
    </w:p>
    <w:p w14:paraId="429933CB"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отражение на балансе объекта контроля имущества и услуг, полученных по займу, а также обязательств перед банком-кредитором и/или республиканским бюджетом;</w:t>
      </w:r>
    </w:p>
    <w:p w14:paraId="0A64CA44"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 xml:space="preserve">выполнение объектом контроля обязательств по договору залога; </w:t>
      </w:r>
    </w:p>
    <w:p w14:paraId="57B04C2C"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меры, принимаемые объектом контроля по обеспечению сохранности залогового имущества;</w:t>
      </w:r>
    </w:p>
    <w:p w14:paraId="21671A0A"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проведение сверки отраженных в учете объекта контроля фактических платежей по погашению и обслуживанию долга и остатка основного долга по займам;</w:t>
      </w:r>
    </w:p>
    <w:p w14:paraId="0B5EB43F"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поручительство государства, предоставляемое в пределах лимита, устанавливаемого Законом Республики Казахстан о республиканском бюджете на соответствующий финансовый год;</w:t>
      </w:r>
    </w:p>
    <w:p w14:paraId="4B359AB8"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наличие разработанных требований, имеющих в установленном законодательством порядке разрешения на предоставление бюджетных кредитов к специализированным организациям администраторами бюджетных программ (в срок не более двух месяцев после принятия соответствующего бюджета);</w:t>
      </w:r>
    </w:p>
    <w:p w14:paraId="627D69C5" w14:textId="77777777" w:rsidR="00771E83" w:rsidRPr="00DC2A76" w:rsidRDefault="00771E83" w:rsidP="00771E83">
      <w:pPr>
        <w:tabs>
          <w:tab w:val="left" w:pos="0"/>
        </w:tabs>
        <w:spacing w:after="0" w:line="240" w:lineRule="auto"/>
        <w:ind w:firstLine="709"/>
        <w:jc w:val="both"/>
        <w:rPr>
          <w:sz w:val="20"/>
          <w:szCs w:val="20"/>
          <w:lang w:val="ru-RU"/>
        </w:rPr>
      </w:pPr>
      <w:r w:rsidRPr="00DC2A76">
        <w:rPr>
          <w:sz w:val="20"/>
          <w:szCs w:val="20"/>
          <w:lang w:val="ru-RU"/>
        </w:rPr>
        <w:t>наличие информации от Национального Банка Республики Казахстан, направляемой администратору программы по банкам-участникам об их соответствии установленным требованиям;</w:t>
      </w:r>
    </w:p>
    <w:p w14:paraId="004F9E1C" w14:textId="77777777" w:rsidR="00771E83" w:rsidRPr="00771E83" w:rsidRDefault="00771E83" w:rsidP="00771E83">
      <w:pPr>
        <w:tabs>
          <w:tab w:val="left" w:pos="0"/>
        </w:tabs>
        <w:spacing w:after="0" w:line="240" w:lineRule="auto"/>
        <w:ind w:firstLine="709"/>
        <w:jc w:val="both"/>
        <w:rPr>
          <w:bCs/>
          <w:sz w:val="20"/>
          <w:szCs w:val="20"/>
          <w:lang w:val="ru-RU"/>
        </w:rPr>
      </w:pPr>
      <w:r w:rsidRPr="00DC2A76">
        <w:rPr>
          <w:sz w:val="20"/>
          <w:szCs w:val="20"/>
          <w:lang w:val="ru-RU"/>
        </w:rPr>
        <w:t>осуществление конкурса среди банков-участников, имеющих положительное заключение Национального банка Республики Казахстан, для получения</w:t>
      </w:r>
      <w:r w:rsidRPr="00771E83">
        <w:rPr>
          <w:bCs/>
          <w:sz w:val="20"/>
          <w:szCs w:val="20"/>
          <w:lang w:val="ru-RU"/>
        </w:rPr>
        <w:t xml:space="preserve"> ими кредитов в рамках реализации конкретных бюджетных программ;</w:t>
      </w:r>
    </w:p>
    <w:p w14:paraId="09714F19"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и состояние имущества, переданного в залог или предлагаемого в качестве залогового обеспечения обязательств объектом контроля по заключенному кредитному договору;</w:t>
      </w:r>
    </w:p>
    <w:p w14:paraId="5AF42B07"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выполнение обязательств, принятых объектом контроля в соответствии с заключенным кредитным договором; </w:t>
      </w:r>
    </w:p>
    <w:p w14:paraId="6423958E"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конкурсных процедур специализированных организаций;</w:t>
      </w:r>
    </w:p>
    <w:p w14:paraId="442D5A5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правильность проведения конкурса;</w:t>
      </w:r>
    </w:p>
    <w:p w14:paraId="1AEF180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выполнение условий кредитного договора, заключенного администратором бюджетной программы со специализированной организацией, (целевое использование, сроки кредитования конечных заемщиков, своевременность и полнота погашения кредита, ставки и порядок начисления вознаграждения, права и обязанности сторон, санкции при невыполнении условий договора);</w:t>
      </w:r>
    </w:p>
    <w:p w14:paraId="61792093"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согласовались ли специализированной организацией с администратором бюджетной программы экспертиза кредитных предложений и решение о кредитовании конечных заемщиков;</w:t>
      </w:r>
    </w:p>
    <w:p w14:paraId="7EE3A068"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очередности платежей по кредиту (начисленные штрафы и пени, начисленное вознаграждение, погашение основного долга);</w:t>
      </w:r>
    </w:p>
    <w:p w14:paraId="7D8DC36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принимаемые меры при образовании у конечного заемщика просроченной задолженности;</w:t>
      </w:r>
    </w:p>
    <w:p w14:paraId="428DDF38"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полноту поставки и оприходование оборудования, поставленного в рамках кредитного договора;</w:t>
      </w:r>
    </w:p>
    <w:p w14:paraId="57B945F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обоснованность использования оборудования;</w:t>
      </w:r>
    </w:p>
    <w:p w14:paraId="79BE7177"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соответствие представленных бюджетных кредитов мероприятиям государственных, отраслевых (секторальных), региональных программ, среднесрочного плана социально-экономического развития и среднесрочной фискальной политики;</w:t>
      </w:r>
    </w:p>
    <w:p w14:paraId="1A13E6C8"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нормативной правовой базы (решения Правительства Республики Казахстан, порядок/правила предоставления бюджетных кредитов);</w:t>
      </w:r>
    </w:p>
    <w:p w14:paraId="08894693"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lastRenderedPageBreak/>
        <w:t>выполнение заемщиками основных условий и обязательств в рамках заключенных кредитных договоров;</w:t>
      </w:r>
    </w:p>
    <w:p w14:paraId="1565268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обоснованное, законное и своевременное использование бюджетных кредитов;</w:t>
      </w:r>
    </w:p>
    <w:p w14:paraId="6484F56B"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отчеты о ходе реализации проектов на предмет прозрачности реализуемого проекта;</w:t>
      </w:r>
    </w:p>
    <w:p w14:paraId="5BC7EFE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причины </w:t>
      </w:r>
      <w:proofErr w:type="spellStart"/>
      <w:r w:rsidRPr="00771E83">
        <w:rPr>
          <w:bCs/>
          <w:sz w:val="20"/>
          <w:szCs w:val="20"/>
          <w:lang w:val="ru-RU"/>
        </w:rPr>
        <w:t>неосвоения</w:t>
      </w:r>
      <w:proofErr w:type="spellEnd"/>
      <w:r w:rsidRPr="00771E83">
        <w:rPr>
          <w:bCs/>
          <w:sz w:val="20"/>
          <w:szCs w:val="20"/>
          <w:lang w:val="ru-RU"/>
        </w:rPr>
        <w:t xml:space="preserve"> кредитных средств (какие меры были предприняты администраторами бюджетных программ для устранения недостатков при реализации проекта);</w:t>
      </w:r>
    </w:p>
    <w:p w14:paraId="204C19B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наличие </w:t>
      </w:r>
      <w:proofErr w:type="spellStart"/>
      <w:r w:rsidRPr="00771E83">
        <w:rPr>
          <w:bCs/>
          <w:sz w:val="20"/>
          <w:szCs w:val="20"/>
          <w:lang w:val="ru-RU"/>
        </w:rPr>
        <w:t>аудированной</w:t>
      </w:r>
      <w:proofErr w:type="spellEnd"/>
      <w:r w:rsidRPr="00771E83">
        <w:rPr>
          <w:bCs/>
          <w:sz w:val="20"/>
          <w:szCs w:val="20"/>
          <w:lang w:val="ru-RU"/>
        </w:rPr>
        <w:t xml:space="preserve"> отчетности за последние три года;</w:t>
      </w:r>
    </w:p>
    <w:p w14:paraId="228320F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плана финансово-хозяйственной деятельности заемщика;</w:t>
      </w:r>
    </w:p>
    <w:p w14:paraId="1B93EF35"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договора о залоге на предмет наличия обеспечения по проекту;</w:t>
      </w:r>
    </w:p>
    <w:p w14:paraId="154C916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4) соблюдения условий и процедур, а также использования средств связанных грантов.</w:t>
      </w:r>
    </w:p>
    <w:p w14:paraId="3574063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При проведении аудита соответствия соблюдения условий и процедур, а также использование средств связанных грантов государственный аудитор проверяет:</w:t>
      </w:r>
    </w:p>
    <w:p w14:paraId="3F207E3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средства, полученные по связанным грантам, предусмотренные в республиканском бюджете и использованные в порядке его исполнения, в соответствии с Законом Республики Казахстан о республиканском бюджете на соответствующий финансовый год;</w:t>
      </w:r>
    </w:p>
    <w:p w14:paraId="5C961FCD"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соблюдение процентного соотношения финансирования проекта за счет средств связанных грантов и </w:t>
      </w:r>
      <w:proofErr w:type="spellStart"/>
      <w:r w:rsidRPr="00771E83">
        <w:rPr>
          <w:bCs/>
          <w:sz w:val="20"/>
          <w:szCs w:val="20"/>
          <w:lang w:val="ru-RU"/>
        </w:rPr>
        <w:t>софинансирования</w:t>
      </w:r>
      <w:proofErr w:type="spellEnd"/>
      <w:r w:rsidRPr="00771E83">
        <w:rPr>
          <w:bCs/>
          <w:sz w:val="20"/>
          <w:szCs w:val="20"/>
          <w:lang w:val="ru-RU"/>
        </w:rPr>
        <w:t xml:space="preserve"> из республиканского бюджета, а также своевременность их финансирования;</w:t>
      </w:r>
    </w:p>
    <w:p w14:paraId="064EDAE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целевое использование приобретенного оборудования за счет средств связанного гранта и </w:t>
      </w:r>
      <w:proofErr w:type="spellStart"/>
      <w:r w:rsidRPr="00771E83">
        <w:rPr>
          <w:bCs/>
          <w:sz w:val="20"/>
          <w:szCs w:val="20"/>
          <w:lang w:val="ru-RU"/>
        </w:rPr>
        <w:t>софинансирования</w:t>
      </w:r>
      <w:proofErr w:type="spellEnd"/>
      <w:r w:rsidRPr="00771E83">
        <w:rPr>
          <w:bCs/>
          <w:sz w:val="20"/>
          <w:szCs w:val="20"/>
          <w:lang w:val="ru-RU"/>
        </w:rPr>
        <w:t xml:space="preserve"> из республиканского бюджета: нет ли случаев использования администраторами бюджетных программ оборудования в иных целях;</w:t>
      </w:r>
    </w:p>
    <w:p w14:paraId="1A31C60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наличие счета к оплате и заявки на снятие средств </w:t>
      </w:r>
      <w:proofErr w:type="spellStart"/>
      <w:r w:rsidRPr="00771E83">
        <w:rPr>
          <w:bCs/>
          <w:sz w:val="20"/>
          <w:szCs w:val="20"/>
          <w:lang w:val="ru-RU"/>
        </w:rPr>
        <w:t>софинансирования</w:t>
      </w:r>
      <w:proofErr w:type="spellEnd"/>
      <w:r w:rsidRPr="00771E83">
        <w:rPr>
          <w:bCs/>
          <w:sz w:val="20"/>
          <w:szCs w:val="20"/>
          <w:lang w:val="ru-RU"/>
        </w:rPr>
        <w:t>;</w:t>
      </w:r>
    </w:p>
    <w:p w14:paraId="02871E7D"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заявку на снятие средств </w:t>
      </w:r>
      <w:proofErr w:type="spellStart"/>
      <w:r w:rsidRPr="00771E83">
        <w:rPr>
          <w:bCs/>
          <w:sz w:val="20"/>
          <w:szCs w:val="20"/>
          <w:lang w:val="ru-RU"/>
        </w:rPr>
        <w:t>софинансирования</w:t>
      </w:r>
      <w:proofErr w:type="spellEnd"/>
      <w:r w:rsidRPr="00771E83">
        <w:rPr>
          <w:bCs/>
          <w:sz w:val="20"/>
          <w:szCs w:val="20"/>
          <w:lang w:val="ru-RU"/>
        </w:rPr>
        <w:t>;</w:t>
      </w:r>
    </w:p>
    <w:p w14:paraId="14A9656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своевременность и полноту представления информации и отчетности о реализации проектов исполнительными агентствами по связанным грантам (администраторами бюджетных программ, поверенными (агентами), заемщиками) в соответствующие органы согласно действующему законодательству;</w:t>
      </w:r>
    </w:p>
    <w:p w14:paraId="41A2BDB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своевременность и полноту поставки, предусмотренных контрактами оборудования, товарно-материальных ценностей и услуг;</w:t>
      </w:r>
    </w:p>
    <w:p w14:paraId="1B53E10E"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поручительство государства, предоставляемое в пределах лимита, устанавливаемого Законом Республики Казахстан о республиканском бюджете на соответствующий финансовый год;</w:t>
      </w:r>
    </w:p>
    <w:p w14:paraId="7BEDA0F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использование связанных грантов, предусмотренные по отдельной бюджетной программе и осуществляемые государственными организациями-получателями грантов в соответствии с соглашением о связанном гранте и законодательством Республики Казахстан;</w:t>
      </w:r>
    </w:p>
    <w:p w14:paraId="664402A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обеспечение обоснованного, законного использования полученных связанных грантов;</w:t>
      </w:r>
    </w:p>
    <w:p w14:paraId="5A25ECF9"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обеспечение постановки на баланс оборудования и материалов, приобретенных за счет связанных грантов;</w:t>
      </w:r>
    </w:p>
    <w:p w14:paraId="7C00EA6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своевременность осуществления таможенного оформления при импорте товаров, закупаемых за счет грантов;</w:t>
      </w:r>
    </w:p>
    <w:p w14:paraId="4A2DDC2B"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ежемесячное представление в уполномоченный орган по исполнению бюджета информацию об использовании связанных грантов;</w:t>
      </w:r>
    </w:p>
    <w:p w14:paraId="5C643A9B"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достоверность предоставленного отчета об использовании гранта в центральный уполномоченный орган по государственному планированию;</w:t>
      </w:r>
    </w:p>
    <w:p w14:paraId="0C29361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5) использования средств государственных и гарантированных государством займов, а также займов, привлекаемых под поручительство государства, в том числе соблюдения условий получения займов субъектами </w:t>
      </w:r>
      <w:proofErr w:type="spellStart"/>
      <w:r w:rsidRPr="00771E83">
        <w:rPr>
          <w:bCs/>
          <w:sz w:val="20"/>
          <w:szCs w:val="20"/>
          <w:lang w:val="ru-RU"/>
        </w:rPr>
        <w:t>квазигосударственного</w:t>
      </w:r>
      <w:proofErr w:type="spellEnd"/>
      <w:r w:rsidRPr="00771E83">
        <w:rPr>
          <w:bCs/>
          <w:sz w:val="20"/>
          <w:szCs w:val="20"/>
          <w:lang w:val="ru-RU"/>
        </w:rPr>
        <w:t xml:space="preserve"> сектора, привлекаемых под поручительство и гарантии государства.</w:t>
      </w:r>
    </w:p>
    <w:p w14:paraId="240D95E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При проведении аудита соответствия использования средств государственных и гарантированных государством займов, а также займов, привлекаемых под поручительство государства, в том числе соблюдения условий получения займов субъектами </w:t>
      </w:r>
      <w:proofErr w:type="spellStart"/>
      <w:r w:rsidRPr="00771E83">
        <w:rPr>
          <w:bCs/>
          <w:sz w:val="20"/>
          <w:szCs w:val="20"/>
          <w:lang w:val="ru-RU"/>
        </w:rPr>
        <w:t>квазигосударственного</w:t>
      </w:r>
      <w:proofErr w:type="spellEnd"/>
      <w:r w:rsidRPr="00771E83">
        <w:rPr>
          <w:bCs/>
          <w:sz w:val="20"/>
          <w:szCs w:val="20"/>
          <w:lang w:val="ru-RU"/>
        </w:rPr>
        <w:t xml:space="preserve"> сектора, привлекаемых под поручительство и гарантии государства государственный аудитор проверяет:</w:t>
      </w:r>
    </w:p>
    <w:p w14:paraId="383DA96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Правил регистрации и учета государственных и гарантированных государством займов, займов под поручительство государства, государственных гарантий и поручительств государства, утвержденных постановлением Правительства Республики Казахстан от 20 июля 2010 года № 739 «Об утверждении Правил регистрации и учета государственных и гарантированных государством займов, займов под поручительство государства, государственных гарантий, государственных гарантий по поддержке экспорта и поручительств государства»;</w:t>
      </w:r>
    </w:p>
    <w:p w14:paraId="30996588"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анализ финансовых характеристик проекта, реализуемого за счет правительственного внешнего займа, связанного гранта и </w:t>
      </w:r>
      <w:proofErr w:type="spellStart"/>
      <w:r w:rsidRPr="00771E83">
        <w:rPr>
          <w:bCs/>
          <w:sz w:val="20"/>
          <w:szCs w:val="20"/>
          <w:lang w:val="ru-RU"/>
        </w:rPr>
        <w:t>софинансирования</w:t>
      </w:r>
      <w:proofErr w:type="spellEnd"/>
      <w:r w:rsidRPr="00771E83">
        <w:rPr>
          <w:bCs/>
          <w:sz w:val="20"/>
          <w:szCs w:val="20"/>
          <w:lang w:val="ru-RU"/>
        </w:rPr>
        <w:t xml:space="preserve"> из республиканского бюджета на соответствующий финансовый год, схемы финансирования проекта (форма, заемщики, кредиторы, ограничения, условия);</w:t>
      </w:r>
    </w:p>
    <w:p w14:paraId="07D8EF5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lastRenderedPageBreak/>
        <w:t>средства, полученные по внешним правительственным займам, предусмотренные в республиканском бюджете и использованные в порядке его исполнения, в соответствии с Законом Республики Казахстан о республиканском бюджете на соответствующий финансовый год;</w:t>
      </w:r>
    </w:p>
    <w:p w14:paraId="2861D94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соблюдение процентного соотношения финансирования проекта за счет средств правительственных внешних займов и </w:t>
      </w:r>
      <w:proofErr w:type="spellStart"/>
      <w:r w:rsidRPr="00771E83">
        <w:rPr>
          <w:bCs/>
          <w:sz w:val="20"/>
          <w:szCs w:val="20"/>
          <w:lang w:val="ru-RU"/>
        </w:rPr>
        <w:t>софинансирования</w:t>
      </w:r>
      <w:proofErr w:type="spellEnd"/>
      <w:r w:rsidRPr="00771E83">
        <w:rPr>
          <w:bCs/>
          <w:sz w:val="20"/>
          <w:szCs w:val="20"/>
          <w:lang w:val="ru-RU"/>
        </w:rPr>
        <w:t xml:space="preserve"> из республиканского бюджета, а также своевременность их финансирования;</w:t>
      </w:r>
    </w:p>
    <w:p w14:paraId="4CD882DB"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случаев финансирования работ, не предусмотренных проектом за счет средств займа;</w:t>
      </w:r>
    </w:p>
    <w:p w14:paraId="2920E925"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порядок оплаты труда консультантов проекта, наличие с ними трудовых контрактов;</w:t>
      </w:r>
    </w:p>
    <w:p w14:paraId="6E9D054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превышение фонда оплаты труда консультантов лимита, предусмотренного в соглашении о займе и/или в соответствующих нормативных правовых актах, анализ их работы;</w:t>
      </w:r>
    </w:p>
    <w:p w14:paraId="18DFA67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целевое использование приобретенного оборудования за счет средств займа и </w:t>
      </w:r>
      <w:proofErr w:type="spellStart"/>
      <w:r w:rsidRPr="00771E83">
        <w:rPr>
          <w:bCs/>
          <w:sz w:val="20"/>
          <w:szCs w:val="20"/>
          <w:lang w:val="ru-RU"/>
        </w:rPr>
        <w:t>софинансирования</w:t>
      </w:r>
      <w:proofErr w:type="spellEnd"/>
      <w:r w:rsidRPr="00771E83">
        <w:rPr>
          <w:bCs/>
          <w:sz w:val="20"/>
          <w:szCs w:val="20"/>
          <w:lang w:val="ru-RU"/>
        </w:rPr>
        <w:t xml:space="preserve"> из республиканского бюджета: нет ли случаев использования администраторами бюджетных программ оборудования в иных целях;</w:t>
      </w:r>
    </w:p>
    <w:p w14:paraId="570310CE"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наличие счета к оплате и заявки на снятие средств </w:t>
      </w:r>
      <w:proofErr w:type="spellStart"/>
      <w:r w:rsidRPr="00771E83">
        <w:rPr>
          <w:bCs/>
          <w:sz w:val="20"/>
          <w:szCs w:val="20"/>
          <w:lang w:val="ru-RU"/>
        </w:rPr>
        <w:t>софинансирования</w:t>
      </w:r>
      <w:proofErr w:type="spellEnd"/>
      <w:r w:rsidRPr="00771E83">
        <w:rPr>
          <w:bCs/>
          <w:sz w:val="20"/>
          <w:szCs w:val="20"/>
          <w:lang w:val="ru-RU"/>
        </w:rPr>
        <w:t>;</w:t>
      </w:r>
    </w:p>
    <w:p w14:paraId="2BA8914B"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заявку на снятие средств </w:t>
      </w:r>
      <w:proofErr w:type="spellStart"/>
      <w:r w:rsidRPr="00771E83">
        <w:rPr>
          <w:bCs/>
          <w:sz w:val="20"/>
          <w:szCs w:val="20"/>
          <w:lang w:val="ru-RU"/>
        </w:rPr>
        <w:t>софинансирования</w:t>
      </w:r>
      <w:proofErr w:type="spellEnd"/>
      <w:r w:rsidRPr="00771E83">
        <w:rPr>
          <w:bCs/>
          <w:sz w:val="20"/>
          <w:szCs w:val="20"/>
          <w:lang w:val="ru-RU"/>
        </w:rPr>
        <w:t>;</w:t>
      </w:r>
    </w:p>
    <w:p w14:paraId="7CDAB7A5"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своевременность и полноту представления информации и отчетности о реализации проектов исполнительными агентствами по займам (администраторами бюджетных программ, поверенными (агентами), заемщиками) в соответствующие органы согласно действующему законодательству;</w:t>
      </w:r>
    </w:p>
    <w:p w14:paraId="6DC42721"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правительственное заимствование в форме выпуска государственных эмиссионных ценных бумаг на внутреннем рынке капиталов. Необходимо проверить законность выпуска, размещения, обращения, погашения и обслуживания ценных бумаг в соответствии с Законом Республики Казахстан «О рынке ценных бумаг»;</w:t>
      </w:r>
    </w:p>
    <w:p w14:paraId="191E164D"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кредитора, представивший заем, размер и условия займа (процентная ставка, сроки действия займа, прочие обязательства, вытекающие из условий договора займа), целевое использование, источники погашения;</w:t>
      </w:r>
    </w:p>
    <w:p w14:paraId="324A3E7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своевременность и полноту поставки, предусмотренных контрактами оборудования, товарно-материальных ценностей и услуг;</w:t>
      </w:r>
    </w:p>
    <w:p w14:paraId="654A774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факты получения за счет средств займа имущества и услуг, не предусмотренных условиями контрактов, не отвечающих целевому назначению займа;</w:t>
      </w:r>
    </w:p>
    <w:p w14:paraId="74CEACC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факты отвлечения средств займа на оказание спонсорской и финансовой помощи, на собственные нужды;</w:t>
      </w:r>
    </w:p>
    <w:p w14:paraId="37C7C4F5"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обоснованность и законность использования имущества, полученного по займу;</w:t>
      </w:r>
    </w:p>
    <w:p w14:paraId="05DBC359"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отражение на балансе объекта контроля имущества и услуг, полученных по займу, а также обязательств перед банком-кредитором и/или республиканским бюджетом;</w:t>
      </w:r>
    </w:p>
    <w:p w14:paraId="5AE1E6B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обоснованность использования основных фондов и другого имущества, приобретенного на средства займа;</w:t>
      </w:r>
    </w:p>
    <w:p w14:paraId="275D4CA8"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проведение сверки отраженных в учете объекта контроля фактических платежей по погашению и обслуживанию долга и остатка основного долга по займам;</w:t>
      </w:r>
    </w:p>
    <w:p w14:paraId="41528FC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меры, принимаемые объектами контроля по возврату отвлеченных по займу бюджетных средств;</w:t>
      </w:r>
    </w:p>
    <w:p w14:paraId="176217A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средства займа, привлекаемого под поручительство государства;</w:t>
      </w:r>
    </w:p>
    <w:p w14:paraId="293296D9"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условий предоставления поручительств государства и требований, предъявляемых к лицам, претендующим на получение поручительства государства в соответствии с Бюджетным Кодексом Республики Казахстан;</w:t>
      </w:r>
    </w:p>
    <w:p w14:paraId="14D1BE41"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требований при исполнении поручительства государства;</w:t>
      </w:r>
    </w:p>
    <w:p w14:paraId="4D7C78A9"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6) соблюдения условий и процедур передачи объектов для целей реализации государственно-частного партнерства, финансирования исполнения государственных обязательств по проектам государственно-частного партнерства, государственных гарантий и поручительств государства, а также их использования.</w:t>
      </w:r>
    </w:p>
    <w:p w14:paraId="3B2DDC5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При проведении аудита соответствия соблюдения условий и процедур передачи объектов для целей реализации государственно-частного партнерства, финансирования исполнения государственных обязательств по проектам государственно-частного партнерства, государственных гарантий и поручительств государства, а также их использования государственный аудитор проверяет: </w:t>
      </w:r>
    </w:p>
    <w:p w14:paraId="6969B8A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реализацию государственно-частного партнерства, как и на каких условиях производилось возмещение затрат по проектам государственно-частного партнерства, соблюдены ли требования норм, предъявляемые к проектам государственно-частного партнерства;</w:t>
      </w:r>
    </w:p>
    <w:p w14:paraId="17DD1B4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7) соблюдения условий и процедур предоставления, использования государственных займов в случаях, предусмотренных международными договорами Республики Казахстан.</w:t>
      </w:r>
    </w:p>
    <w:p w14:paraId="186D743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При проведении аудита соответствия соблюдения условий и процедур предоставления, использования государственных займов в случаях, предусмотренных международными договорами Республики Казахстан, государственный аудитор проверяет: </w:t>
      </w:r>
    </w:p>
    <w:p w14:paraId="3A109655"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процедуру принятия решения о необходимости привлечения заемных средств;</w:t>
      </w:r>
    </w:p>
    <w:p w14:paraId="29641CBD"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lastRenderedPageBreak/>
        <w:t>определение порядка и условий привлечения, использования, погашения и обслуживания займа;</w:t>
      </w:r>
    </w:p>
    <w:p w14:paraId="00AF3AA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процедуру переговоров, обеспечения и гарантий исполнения обязательств, оформления и подписания соответствующих документов по займу, ратификации договора займа (при государственном внешнем заимствовании), получения, использования средств займа, включая процедуры учета, контроля и анализа исполнения обязательств сторонами;</w:t>
      </w:r>
    </w:p>
    <w:p w14:paraId="5D6AEBA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8) соблюдения законодательства о государственных закупках на основе системы управления рисками. </w:t>
      </w:r>
    </w:p>
    <w:p w14:paraId="69DEE8E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При проведении аудита соответствия соблюдению законодательства о государственных закупках государственный аудитор проверяет:</w:t>
      </w:r>
    </w:p>
    <w:p w14:paraId="279950DD"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устранение нарушений, выявленных предыдущим аудитом;</w:t>
      </w:r>
    </w:p>
    <w:p w14:paraId="3FC0068D"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достоверность данных на веб-портале, вносимых организаторами и заказчиками;</w:t>
      </w:r>
    </w:p>
    <w:p w14:paraId="44C82803"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и своевременность утверждения годовых планов государственных закупок, правильность составления, обоснованность внесенных изменений;</w:t>
      </w:r>
    </w:p>
    <w:p w14:paraId="4DB3DE4B"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анализ годовых планов государственных закупок (выделяемые суммы, распределение по номенклатуре и объемам, по месту поставки, выполнения работ, оказания услуг, соответствие и обоснованность объемов товаров, работ, услуг, предусмотренных в годовом плане государственных закупок объему, предусмотренному в бюджетной заявке);</w:t>
      </w:r>
    </w:p>
    <w:p w14:paraId="0863CFF9"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своевременность размещения годовых планов государственных закупок на веб-портале государственных закупок и внесенных в них изменений;</w:t>
      </w:r>
    </w:p>
    <w:p w14:paraId="782E261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соответствие сроков проведения процедур закупок со сроками, указанными в плане государственных закупок;</w:t>
      </w:r>
    </w:p>
    <w:p w14:paraId="1D777D99"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наличие случаев приобретения товаров, работ, услуг, не предусмотренных утвержденным годовым планом государственных закупок (уточненным годовым планом государственных закупок), за исключением приобретения товаров, работ, услуг в соответствии с подпунктами </w:t>
      </w:r>
      <w:r w:rsidRPr="00771E83">
        <w:rPr>
          <w:b/>
          <w:bCs/>
          <w:sz w:val="20"/>
          <w:szCs w:val="20"/>
          <w:lang w:val="ru-RU"/>
        </w:rPr>
        <w:t>3, 6, 21, 22 и 24</w:t>
      </w:r>
      <w:r w:rsidRPr="00771E83">
        <w:rPr>
          <w:bCs/>
          <w:sz w:val="20"/>
          <w:szCs w:val="20"/>
          <w:lang w:val="ru-RU"/>
        </w:rPr>
        <w:t xml:space="preserve"> пункта 3 статьи </w:t>
      </w:r>
      <w:r w:rsidRPr="00771E83">
        <w:rPr>
          <w:b/>
          <w:bCs/>
          <w:sz w:val="20"/>
          <w:szCs w:val="20"/>
          <w:lang w:val="ru-RU"/>
        </w:rPr>
        <w:t>16</w:t>
      </w:r>
      <w:r w:rsidRPr="00771E83">
        <w:rPr>
          <w:bCs/>
          <w:sz w:val="20"/>
          <w:szCs w:val="20"/>
          <w:lang w:val="ru-RU"/>
        </w:rPr>
        <w:t xml:space="preserve"> Закона Республики Казахстан «О государственных закупках» (далее – Закон о государственных закупках);</w:t>
      </w:r>
    </w:p>
    <w:p w14:paraId="0C1A1035"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наличие случаев отказа от осуществления государственных закупок по основаниям, не предусмотренным в пункте </w:t>
      </w:r>
      <w:r w:rsidRPr="00771E83">
        <w:rPr>
          <w:b/>
          <w:bCs/>
          <w:sz w:val="20"/>
          <w:szCs w:val="20"/>
          <w:lang w:val="ru-RU"/>
        </w:rPr>
        <w:t>10</w:t>
      </w:r>
      <w:r w:rsidRPr="00771E83">
        <w:rPr>
          <w:bCs/>
          <w:sz w:val="20"/>
          <w:szCs w:val="20"/>
          <w:lang w:val="ru-RU"/>
        </w:rPr>
        <w:t xml:space="preserve"> статьи </w:t>
      </w:r>
      <w:r w:rsidRPr="00771E83">
        <w:rPr>
          <w:b/>
          <w:bCs/>
          <w:sz w:val="20"/>
          <w:szCs w:val="20"/>
          <w:lang w:val="ru-RU"/>
        </w:rPr>
        <w:t>6</w:t>
      </w:r>
      <w:r w:rsidRPr="00771E83">
        <w:rPr>
          <w:bCs/>
          <w:sz w:val="20"/>
          <w:szCs w:val="20"/>
          <w:lang w:val="ru-RU"/>
        </w:rPr>
        <w:t xml:space="preserve"> Закона о государственных закупках;</w:t>
      </w:r>
    </w:p>
    <w:p w14:paraId="5EEC688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обоснованность применения нормы статьи </w:t>
      </w:r>
      <w:r w:rsidRPr="00771E83">
        <w:rPr>
          <w:b/>
          <w:bCs/>
          <w:sz w:val="20"/>
          <w:szCs w:val="20"/>
          <w:lang w:val="ru-RU"/>
        </w:rPr>
        <w:t>16</w:t>
      </w:r>
      <w:r w:rsidRPr="00771E83">
        <w:rPr>
          <w:bCs/>
          <w:sz w:val="20"/>
          <w:szCs w:val="20"/>
          <w:lang w:val="ru-RU"/>
        </w:rPr>
        <w:t xml:space="preserve"> Закона о государственных закупках, регламентирующей выбор поставщика и заключения с ним договора о государственных закупках;</w:t>
      </w:r>
    </w:p>
    <w:p w14:paraId="2E7270B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правомерность выбора способа проведения государственных закупок:</w:t>
      </w:r>
    </w:p>
    <w:p w14:paraId="7759D68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способом конкурса (открытого конкурса, конкурса с использованием двухэтапных процедур, конкурса с предварительным квалификационным отбором, конкурса с использованием рамочных соглашений, конкурса с использованием </w:t>
      </w:r>
      <w:proofErr w:type="spellStart"/>
      <w:r w:rsidRPr="00771E83">
        <w:rPr>
          <w:bCs/>
          <w:sz w:val="20"/>
          <w:szCs w:val="20"/>
          <w:lang w:val="ru-RU"/>
        </w:rPr>
        <w:t>рейтингово</w:t>
      </w:r>
      <w:proofErr w:type="spellEnd"/>
      <w:r w:rsidRPr="00771E83">
        <w:rPr>
          <w:bCs/>
          <w:sz w:val="20"/>
          <w:szCs w:val="20"/>
          <w:lang w:val="ru-RU"/>
        </w:rPr>
        <w:t>-балльной системы);</w:t>
      </w:r>
    </w:p>
    <w:p w14:paraId="4C878A33"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способом из одного источника;</w:t>
      </w:r>
    </w:p>
    <w:p w14:paraId="06CDB74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способом запроса ценовых предложений;</w:t>
      </w:r>
    </w:p>
    <w:p w14:paraId="1CFDA04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способом аукциона;</w:t>
      </w:r>
    </w:p>
    <w:p w14:paraId="48F96F39"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способом через товарные биржи;</w:t>
      </w:r>
    </w:p>
    <w:p w14:paraId="242CAB7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способом через электронный магазин;</w:t>
      </w:r>
    </w:p>
    <w:p w14:paraId="60BB7C5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количество и объем государственных закупок, осуществленных указанными способами (по отдельности);</w:t>
      </w:r>
    </w:p>
    <w:p w14:paraId="139E6D67"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выполнение требований о направлении информации для включения в реестры в сфере государственных закупок;</w:t>
      </w:r>
    </w:p>
    <w:p w14:paraId="3FD7C0B1"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выполнение требований о предъявлении исков в суд о признании потенциального поставщика недобросовестным участником государственных закупок;</w:t>
      </w:r>
    </w:p>
    <w:p w14:paraId="5308099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законодательства о государственных закупках при осуществлении государственной закупки способом конкурса;</w:t>
      </w:r>
    </w:p>
    <w:p w14:paraId="76649DAD"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законодательства о государственных закупках при осуществлении государственной закупки способом запроса ценовых предложений;</w:t>
      </w:r>
    </w:p>
    <w:p w14:paraId="0D01DC0E"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законодательства о государственных закупках при осуществлении государственной закупки способом аукциона;</w:t>
      </w:r>
    </w:p>
    <w:p w14:paraId="1B63AF4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законодательства о государственных закупках при осуществлении государственной закупки способом из одного источника;</w:t>
      </w:r>
    </w:p>
    <w:p w14:paraId="5A47CE05"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законодательства о государственных закупках при осуществлении государственной закупки способом через товарные биржи;</w:t>
      </w:r>
    </w:p>
    <w:p w14:paraId="0FB77B7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законодательства о государственных закупках при осуществлении государственной закупки способом через электронный магазин;</w:t>
      </w:r>
    </w:p>
    <w:p w14:paraId="0D097D4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принципов оптимального и эффективного расходования денег, используемых для государственных закупок;</w:t>
      </w:r>
    </w:p>
    <w:p w14:paraId="40179A81"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lastRenderedPageBreak/>
        <w:t xml:space="preserve">применение особого порядка осуществления государственных закупок способом конкурса, в соответствии со статьей </w:t>
      </w:r>
      <w:r w:rsidRPr="00771E83">
        <w:rPr>
          <w:b/>
          <w:bCs/>
          <w:sz w:val="20"/>
          <w:szCs w:val="20"/>
          <w:lang w:val="ru-RU"/>
        </w:rPr>
        <w:t>26</w:t>
      </w:r>
      <w:r w:rsidRPr="00771E83">
        <w:rPr>
          <w:bCs/>
          <w:sz w:val="20"/>
          <w:szCs w:val="20"/>
          <w:lang w:val="ru-RU"/>
        </w:rPr>
        <w:t xml:space="preserve"> Закона о государственных закупках;</w:t>
      </w:r>
    </w:p>
    <w:p w14:paraId="648F29EB"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соблюдение порядка применения национального режима при осуществлении государственных закупок, в соответствии со статьей </w:t>
      </w:r>
      <w:r w:rsidRPr="00771E83">
        <w:rPr>
          <w:b/>
          <w:bCs/>
          <w:sz w:val="20"/>
          <w:szCs w:val="20"/>
          <w:lang w:val="ru-RU"/>
        </w:rPr>
        <w:t>9</w:t>
      </w:r>
      <w:r w:rsidRPr="00771E83">
        <w:rPr>
          <w:bCs/>
          <w:sz w:val="20"/>
          <w:szCs w:val="20"/>
          <w:lang w:val="ru-RU"/>
        </w:rPr>
        <w:t xml:space="preserve"> Закона о государственных закупках;</w:t>
      </w:r>
    </w:p>
    <w:p w14:paraId="6347FB27"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соблюдение порядка участия в государственных закупках отдельных категорий потенциальных поставщиков, в соответствии со статьей </w:t>
      </w:r>
      <w:r w:rsidRPr="00771E83">
        <w:rPr>
          <w:b/>
          <w:bCs/>
          <w:sz w:val="20"/>
          <w:szCs w:val="20"/>
          <w:lang w:val="ru-RU"/>
        </w:rPr>
        <w:t>27</w:t>
      </w:r>
      <w:r w:rsidRPr="00771E83">
        <w:rPr>
          <w:bCs/>
          <w:sz w:val="20"/>
          <w:szCs w:val="20"/>
          <w:lang w:val="ru-RU"/>
        </w:rPr>
        <w:t xml:space="preserve"> Закона о государственных закупках;</w:t>
      </w:r>
    </w:p>
    <w:p w14:paraId="5B7AFEC1"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заключение и исполнение договора о государственных закупках;</w:t>
      </w:r>
    </w:p>
    <w:p w14:paraId="188C080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заключение дополнительного соглашения к договору о государственных закупках;</w:t>
      </w:r>
    </w:p>
    <w:p w14:paraId="4F1DE809"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9) соблюдения законодательства о бухгалтерском учете и финансовой отчетности на основе системы управления рисками.</w:t>
      </w:r>
    </w:p>
    <w:p w14:paraId="495B9123"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При проведении аудита соответствия законодательству о бухгалтерском учете и финансовой отчетности государственный аудитор проверяет:</w:t>
      </w:r>
    </w:p>
    <w:p w14:paraId="58DBCCD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состояние бухгалтерского учета, правильность организации бухгалтерского документооборота и первичного учета в части вопросов аудита соответствия;</w:t>
      </w:r>
    </w:p>
    <w:p w14:paraId="034D7DB8"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достоверность данных, принятых к учету совершенных операций, мемориальных ордеров - накопительных ведомостей в разрезе совершения соответствующих операций. Сверка оборотов и остатков по аналитическому счету оборотных ведомостей с итогами оборотов по остаткам на этих субсчетах в Книге «Журнал-главная». Данный контроль осуществляется в соответствии с Правилами ведения бухгалтерского учета в государственных учреждениях, утвержденными приказом Министра финансов Республики Казахстан от </w:t>
      </w:r>
      <w:r w:rsidRPr="00771E83">
        <w:rPr>
          <w:b/>
          <w:bCs/>
          <w:sz w:val="20"/>
          <w:szCs w:val="20"/>
          <w:lang w:val="ru-RU"/>
        </w:rPr>
        <w:t>12 мая 2025 года № 223 «Об утверждении Правил ведения бухгалтерского учета в государственных учреждениях»</w:t>
      </w:r>
      <w:r w:rsidRPr="00771E83">
        <w:rPr>
          <w:bCs/>
          <w:sz w:val="20"/>
          <w:szCs w:val="20"/>
          <w:lang w:val="ru-RU"/>
        </w:rPr>
        <w:t xml:space="preserve"> в части вопросов аудита соответствия; </w:t>
      </w:r>
    </w:p>
    <w:p w14:paraId="4EDC9EC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полноту, достоверность, обоснованность и своевременность составления и представления бюджетной отчетности в соответствии с Правилами составления и представления бюджетной отчетности государственными учреждениями, администраторами бюджетных программ, уполномоченными органами по исполнению бюджета и аппаратами акимов городов районного значения, сел, поселков, сельских округов в части вопросов проводимого аудита соответствия;</w:t>
      </w:r>
    </w:p>
    <w:p w14:paraId="00C36B0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соответствие данных годового отчета государственных учреждений данным бухгалтерских записей, подтвержденных соответствующими документами касательно цели и вопросов Программы аудита соответствия;</w:t>
      </w:r>
    </w:p>
    <w:p w14:paraId="63EE6B6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подтверждение данных статей баланса на конец отчетного года с результатами проведенной инвентаризации и </w:t>
      </w:r>
      <w:proofErr w:type="spellStart"/>
      <w:r w:rsidRPr="00771E83">
        <w:rPr>
          <w:bCs/>
          <w:sz w:val="20"/>
          <w:szCs w:val="20"/>
          <w:lang w:val="ru-RU"/>
        </w:rPr>
        <w:t>отрегулированность</w:t>
      </w:r>
      <w:proofErr w:type="spellEnd"/>
      <w:r w:rsidRPr="00771E83">
        <w:rPr>
          <w:bCs/>
          <w:sz w:val="20"/>
          <w:szCs w:val="20"/>
          <w:lang w:val="ru-RU"/>
        </w:rPr>
        <w:t xml:space="preserve"> обнаруженных расхождений до представления годового отчета при наличии данного вопроса в Программе аудита соответствия;</w:t>
      </w:r>
    </w:p>
    <w:p w14:paraId="4C9BF3B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достоверность отчетов </w:t>
      </w:r>
      <w:proofErr w:type="gramStart"/>
      <w:r w:rsidRPr="00771E83">
        <w:rPr>
          <w:bCs/>
          <w:sz w:val="20"/>
          <w:szCs w:val="20"/>
          <w:lang w:val="ru-RU"/>
        </w:rPr>
        <w:t>о дебиторской и кредиторской задолженностей</w:t>
      </w:r>
      <w:proofErr w:type="gramEnd"/>
      <w:r w:rsidRPr="00771E83">
        <w:rPr>
          <w:bCs/>
          <w:sz w:val="20"/>
          <w:szCs w:val="20"/>
          <w:lang w:val="ru-RU"/>
        </w:rPr>
        <w:t>, с указанием причин их образования, в том числе: причины образования кредиторской задолженности за приобретенные товары (работы, услуги) сверх утвержденного индивидуального плана финансирования государственного учреждения, имеются ли факты сокрытия дебиторской и кредиторской задолженности при проверке по вопросам аудита соответствия;</w:t>
      </w:r>
    </w:p>
    <w:p w14:paraId="15E089F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10) соблюдения законодательства Республики Казахстан о государственном имуществе на основе системы управления рисками.</w:t>
      </w:r>
    </w:p>
    <w:p w14:paraId="621AB40E"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Критерием данного направления является: достоверность, обоснованность, добросовестность.</w:t>
      </w:r>
    </w:p>
    <w:p w14:paraId="357A74A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При проведении аудита соответствия соблюдению законодательства Республики Казахстан о государственном имуществе государственный аудитор проверяет:</w:t>
      </w:r>
    </w:p>
    <w:p w14:paraId="35DAC06E"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соблюдение натуральных норм обеспечения государственных органов служебными и дежурными автомобилями, телефонной связью, офисной мебелью и площадями для размещения аппарата государственных органов, </w:t>
      </w:r>
      <w:r w:rsidRPr="00771E83">
        <w:rPr>
          <w:b/>
          <w:bCs/>
          <w:sz w:val="20"/>
          <w:szCs w:val="20"/>
          <w:lang w:val="ru-RU"/>
        </w:rPr>
        <w:t>канцелярскими принадлежностями и другими расходными материалами,</w:t>
      </w:r>
      <w:r w:rsidRPr="00771E83">
        <w:rPr>
          <w:bCs/>
          <w:sz w:val="20"/>
          <w:szCs w:val="20"/>
          <w:lang w:val="ru-RU"/>
        </w:rPr>
        <w:t xml:space="preserve"> утвержденных приказом Министра финансов Республики Казахстан </w:t>
      </w:r>
      <w:r w:rsidRPr="00771E83">
        <w:rPr>
          <w:b/>
          <w:bCs/>
          <w:sz w:val="20"/>
          <w:szCs w:val="20"/>
          <w:lang w:val="ru-RU"/>
        </w:rPr>
        <w:t xml:space="preserve"> от 28 апреля 2025 года № 201</w:t>
      </w:r>
      <w:r w:rsidRPr="00771E83">
        <w:rPr>
          <w:bCs/>
          <w:sz w:val="20"/>
          <w:szCs w:val="20"/>
          <w:lang w:val="ru-RU"/>
        </w:rPr>
        <w:t xml:space="preserve"> «Об утверждении натуральных норм обеспечения государственных органов служебными и дежурными автомобилями, телефонной связью, офисной мебелью и площадями для размещения аппарата государственных органов,</w:t>
      </w:r>
      <w:r w:rsidRPr="00771E83">
        <w:rPr>
          <w:b/>
          <w:bCs/>
          <w:sz w:val="20"/>
          <w:szCs w:val="20"/>
          <w:lang w:val="ru-RU"/>
        </w:rPr>
        <w:t xml:space="preserve"> канцелярскими принадлежностями и другими расходными материалами»</w:t>
      </w:r>
      <w:r w:rsidRPr="00771E83">
        <w:rPr>
          <w:bCs/>
          <w:sz w:val="20"/>
          <w:szCs w:val="20"/>
          <w:lang w:val="ru-RU"/>
        </w:rPr>
        <w:t xml:space="preserve">; </w:t>
      </w:r>
    </w:p>
    <w:p w14:paraId="2414FC8D"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порядка списания бензина, дизтоплива и сжиженного газа в соответствии с установленными нормами на 100 км пробега по маркам автомобилей и других транспортных средств согласно путевым листам. При этом следует иметь в виду, что списание горюче-смазочных материалов на автомобили производится в весенне-летние и осенне-зимние периоды по принятым нормам, установленным заводами изготовителями транспортных средств. При проверке правильности нормы расходов горюче-смазочных материалов на 100 км пробега для государственных органов Республики Казахстан и расходов на содержание автотранспорта (далее – нормы) руководствоваться постановлением Правительства Республики Казахстан от 11 августа 2009 года № 1210 «Об утверждении норм расходов горюче-смазочных материалов и расходов на содержание автотранспорта»;</w:t>
      </w:r>
    </w:p>
    <w:p w14:paraId="542976BA"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правильность списания автомобильных шин, в соответствии с установленными нормами пробега и обоснованность списания автомобильных шин, не прошедших сроки эксплуатации против норм пробега;</w:t>
      </w:r>
    </w:p>
    <w:p w14:paraId="55BC9EAD"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lastRenderedPageBreak/>
        <w:t>достоверность списания запасных частей согласно дефектным актам. При этом государственный аудитор сверяет соответствие списанных запасных частей и оприходование их на склад согласно утвержденными в дефектных актах на их списание запасными частями;</w:t>
      </w:r>
    </w:p>
    <w:p w14:paraId="40203C4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фактов использования специальных автомобилей в качестве служебного легкового автотранспорта. Оснащение специальных автомобилей спецоборудованием. Проверить, не эксплуатируются ли служебные и специальные автомобили вышестоящими органами управления балансодержателей автомобиля;</w:t>
      </w:r>
    </w:p>
    <w:p w14:paraId="2FB512B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разрешения территориального комитета государственного имущества и приватизации на списание зданий, транспортных средств. Наличие случаев безвозмездной передачи зданий, транспортных средств общественным и сторонним организациям;</w:t>
      </w:r>
    </w:p>
    <w:p w14:paraId="509B9C5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наличие случаев реализации транспортных средств по остаточной балансовой стоимости частным лицам, без проведения соответствующих процедур реализации (разрешения уполномоченного органа, экспертизы по определению рыночной стоимости). Наличие случаев реализации проверяемым государственным учреждением транспортных средств, находившихся на его балансе, а не территориальным органом государственного имущества и приватизации;</w:t>
      </w:r>
    </w:p>
    <w:p w14:paraId="7CC8C53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обоснованность и законность использования бюджетных средств, предусмотренных на аренду транспортных средств;</w:t>
      </w:r>
    </w:p>
    <w:p w14:paraId="3D429723"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использование служебных телефонов: не производились ли международные и междугородние переговоры сотрудников в личных целях, оплаты за эти переговоры, имеются ли лимиты по использованию служебных телефонов (учтены ли междугородные переговоры, переговоры с выходом на мобильную связь);</w:t>
      </w:r>
    </w:p>
    <w:p w14:paraId="3EACF08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предоставление в имущественный наем (аренду) объектов государственной коммунальной собственности; </w:t>
      </w:r>
    </w:p>
    <w:p w14:paraId="0B95656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основных положений по учету, хранению и списанию материальных ценностей, организации контроля за работой материально-ответственных лиц, фактическое наличие материальных ценностей;</w:t>
      </w:r>
    </w:p>
    <w:p w14:paraId="7D6111BC"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11) соблюдения Закона Республики Казахстан «Об аудиторской деятельности» (далее – Закон об аудиторской деятельности) на основе системы управления рисками. По данному направлению аудит соответствия проводится ведомством и его территориальными подразделениями.</w:t>
      </w:r>
    </w:p>
    <w:p w14:paraId="0FF26544"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При проведении аудита соответствия соблюдению Закона об аудиторской деятельности государственный аудитор проверяет соблюдение Закона об аудиторской деятельности аудиторами, аудиторскими организациями, профессиональными аудиторскими организациями и профессиональным советом по аудиторской деятельности в процессе осуществления аудиторской деятельности в Республике Казахстан;</w:t>
      </w:r>
    </w:p>
    <w:p w14:paraId="6123A0DE"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12) соблюдения отраслевого законодательства государственным органом, в котором создана служба внутреннего аудита.</w:t>
      </w:r>
    </w:p>
    <w:p w14:paraId="2EDF4336"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При проведении аудита соответствия деятельности объекта государственного аудита действующему законодательству государственный аудитор службы внутреннего аудита проверяет:</w:t>
      </w:r>
    </w:p>
    <w:p w14:paraId="46222AE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реализацию целей, функций и задач, предусмотренных уставом;</w:t>
      </w:r>
    </w:p>
    <w:p w14:paraId="27D5F522"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соответствие внутренних правовых актов объектов государственного аудита законодательству Республики Казахстан, правовым документам вышестоящего органа (органа государственного управления);</w:t>
      </w:r>
    </w:p>
    <w:p w14:paraId="5629D8D1"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внутренних правовых документов объектом государственного аудита;</w:t>
      </w:r>
    </w:p>
    <w:p w14:paraId="1E6F9DFF"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соответствие начисления и перечисления заработной платы и прочих стимулирующих выплат действующему законодательству, в том числе внутренним правовым документам и форме 5-15а «Выписка по проведенным платежам на соответствующие счета получателей денег» Правил исполнения бюджета и его кассового обслуживания;</w:t>
      </w:r>
    </w:p>
    <w:p w14:paraId="3B0D11D5"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13) сохранность товарно-материальных запасов (далее – ТМЗ) и активов подведомственных организаций, в том числе субъектов </w:t>
      </w:r>
      <w:proofErr w:type="spellStart"/>
      <w:r w:rsidRPr="00771E83">
        <w:rPr>
          <w:bCs/>
          <w:sz w:val="20"/>
          <w:szCs w:val="20"/>
          <w:lang w:val="ru-RU"/>
        </w:rPr>
        <w:t>квазигосударственного</w:t>
      </w:r>
      <w:proofErr w:type="spellEnd"/>
      <w:r w:rsidRPr="00771E83">
        <w:rPr>
          <w:bCs/>
          <w:sz w:val="20"/>
          <w:szCs w:val="20"/>
          <w:lang w:val="ru-RU"/>
        </w:rPr>
        <w:t xml:space="preserve"> сектора.</w:t>
      </w:r>
    </w:p>
    <w:p w14:paraId="7F71FC2E"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При проведении аудита соответствия ТМЗ и иных активов подведомственных организаций, в том числе субъектов </w:t>
      </w:r>
      <w:proofErr w:type="spellStart"/>
      <w:r w:rsidRPr="00771E83">
        <w:rPr>
          <w:bCs/>
          <w:sz w:val="20"/>
          <w:szCs w:val="20"/>
          <w:lang w:val="ru-RU"/>
        </w:rPr>
        <w:t>квазигосударственного</w:t>
      </w:r>
      <w:proofErr w:type="spellEnd"/>
      <w:r w:rsidRPr="00771E83">
        <w:rPr>
          <w:bCs/>
          <w:sz w:val="20"/>
          <w:szCs w:val="20"/>
          <w:lang w:val="ru-RU"/>
        </w:rPr>
        <w:t xml:space="preserve"> сектора аудитор проверяет:</w:t>
      </w:r>
    </w:p>
    <w:p w14:paraId="52E46ED0"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учет ТМЗ и активов (основные средства, собственные денежные средства, арендуемые основные средства) в подведомственных организациях;</w:t>
      </w:r>
    </w:p>
    <w:p w14:paraId="207C1661"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 xml:space="preserve">порядок использования ТМЗ и активов в подведомственных организациях; </w:t>
      </w:r>
    </w:p>
    <w:p w14:paraId="53734188" w14:textId="77777777" w:rsidR="00771E83" w:rsidRPr="00771E83" w:rsidRDefault="00771E83" w:rsidP="00771E83">
      <w:pPr>
        <w:tabs>
          <w:tab w:val="left" w:pos="0"/>
        </w:tabs>
        <w:spacing w:after="0" w:line="240" w:lineRule="auto"/>
        <w:ind w:firstLine="709"/>
        <w:jc w:val="both"/>
        <w:rPr>
          <w:bCs/>
          <w:sz w:val="20"/>
          <w:szCs w:val="20"/>
          <w:lang w:val="ru-RU"/>
        </w:rPr>
      </w:pPr>
      <w:r w:rsidRPr="00771E83">
        <w:rPr>
          <w:bCs/>
          <w:sz w:val="20"/>
          <w:szCs w:val="20"/>
          <w:lang w:val="ru-RU"/>
        </w:rPr>
        <w:t>соблюдение процедур оказания платных услуг.</w:t>
      </w:r>
    </w:p>
    <w:p w14:paraId="07A5E463" w14:textId="77777777" w:rsidR="00771E83" w:rsidRPr="00771E83" w:rsidRDefault="00771E83" w:rsidP="00771E83">
      <w:pPr>
        <w:tabs>
          <w:tab w:val="left" w:pos="0"/>
        </w:tabs>
        <w:spacing w:after="0" w:line="240" w:lineRule="auto"/>
        <w:ind w:firstLine="709"/>
        <w:jc w:val="both"/>
        <w:rPr>
          <w:bCs/>
          <w:sz w:val="20"/>
          <w:szCs w:val="20"/>
          <w:lang w:val="ru-RU"/>
        </w:rPr>
      </w:pPr>
    </w:p>
    <w:p w14:paraId="69631151" w14:textId="4490F02D" w:rsidR="007B4D6E" w:rsidRPr="00C764B5" w:rsidRDefault="007B4D6E" w:rsidP="00771E83">
      <w:pPr>
        <w:tabs>
          <w:tab w:val="left" w:pos="0"/>
        </w:tabs>
        <w:spacing w:after="0" w:line="240" w:lineRule="auto"/>
        <w:ind w:firstLine="709"/>
        <w:jc w:val="both"/>
        <w:rPr>
          <w:b/>
          <w:sz w:val="20"/>
          <w:szCs w:val="20"/>
          <w:lang w:val="ru-RU" w:eastAsia="ru-RU"/>
        </w:rPr>
      </w:pPr>
    </w:p>
    <w:sectPr w:rsidR="007B4D6E" w:rsidRPr="00C764B5" w:rsidSect="00151F5A">
      <w:headerReference w:type="default" r:id="rId8"/>
      <w:pgSz w:w="11907" w:h="16839" w:code="9"/>
      <w:pgMar w:top="1418" w:right="851" w:bottom="1418" w:left="1418" w:header="1417" w:footer="1417" w:gutter="0"/>
      <w:pgNumType w:start="3"/>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C1351" w14:textId="77777777" w:rsidR="0012676A" w:rsidRDefault="0012676A" w:rsidP="00F936C5">
      <w:pPr>
        <w:spacing w:after="0" w:line="240" w:lineRule="auto"/>
      </w:pPr>
      <w:r>
        <w:separator/>
      </w:r>
    </w:p>
  </w:endnote>
  <w:endnote w:type="continuationSeparator" w:id="0">
    <w:p w14:paraId="6540C1A0" w14:textId="77777777" w:rsidR="0012676A" w:rsidRDefault="0012676A" w:rsidP="00F93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E42C9" w14:textId="77777777" w:rsidR="0012676A" w:rsidRDefault="0012676A" w:rsidP="00F936C5">
      <w:pPr>
        <w:spacing w:after="0" w:line="240" w:lineRule="auto"/>
      </w:pPr>
      <w:r>
        <w:separator/>
      </w:r>
    </w:p>
  </w:footnote>
  <w:footnote w:type="continuationSeparator" w:id="0">
    <w:p w14:paraId="2A1A4AD1" w14:textId="77777777" w:rsidR="0012676A" w:rsidRDefault="0012676A" w:rsidP="00F936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028059"/>
      <w:docPartObj>
        <w:docPartGallery w:val="Page Numbers (Top of Page)"/>
        <w:docPartUnique/>
      </w:docPartObj>
    </w:sdtPr>
    <w:sdtEndPr/>
    <w:sdtContent>
      <w:p w14:paraId="66E98B26" w14:textId="25100D99" w:rsidR="00D84AA0" w:rsidRDefault="00D84AA0">
        <w:pPr>
          <w:pStyle w:val="a3"/>
          <w:jc w:val="center"/>
        </w:pPr>
        <w:r>
          <w:fldChar w:fldCharType="begin"/>
        </w:r>
        <w:r>
          <w:instrText>PAGE   \* MERGEFORMAT</w:instrText>
        </w:r>
        <w:r>
          <w:fldChar w:fldCharType="separate"/>
        </w:r>
        <w:r>
          <w:rPr>
            <w:lang w:val="ru-RU"/>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807"/>
    <w:rsid w:val="0000482B"/>
    <w:rsid w:val="000120C0"/>
    <w:rsid w:val="00020F24"/>
    <w:rsid w:val="0003396A"/>
    <w:rsid w:val="00036E79"/>
    <w:rsid w:val="00065807"/>
    <w:rsid w:val="000773B7"/>
    <w:rsid w:val="00085468"/>
    <w:rsid w:val="000916C7"/>
    <w:rsid w:val="000B542E"/>
    <w:rsid w:val="000B6C99"/>
    <w:rsid w:val="000B6FC7"/>
    <w:rsid w:val="000D1DD6"/>
    <w:rsid w:val="000D3933"/>
    <w:rsid w:val="000D5777"/>
    <w:rsid w:val="000D78D4"/>
    <w:rsid w:val="000E02F7"/>
    <w:rsid w:val="000F01EE"/>
    <w:rsid w:val="000F5EEE"/>
    <w:rsid w:val="00106EDB"/>
    <w:rsid w:val="001178B3"/>
    <w:rsid w:val="00121130"/>
    <w:rsid w:val="00124D49"/>
    <w:rsid w:val="0012676A"/>
    <w:rsid w:val="00134DC0"/>
    <w:rsid w:val="0013641F"/>
    <w:rsid w:val="00150E18"/>
    <w:rsid w:val="00151F5A"/>
    <w:rsid w:val="00165835"/>
    <w:rsid w:val="0016776A"/>
    <w:rsid w:val="00177B2E"/>
    <w:rsid w:val="001820E2"/>
    <w:rsid w:val="00183348"/>
    <w:rsid w:val="00186044"/>
    <w:rsid w:val="00194029"/>
    <w:rsid w:val="001959C6"/>
    <w:rsid w:val="001B043E"/>
    <w:rsid w:val="001B6F52"/>
    <w:rsid w:val="001C4D24"/>
    <w:rsid w:val="001D1FA8"/>
    <w:rsid w:val="001D2A3F"/>
    <w:rsid w:val="001E52CC"/>
    <w:rsid w:val="001E5FC3"/>
    <w:rsid w:val="001E6119"/>
    <w:rsid w:val="001F12C8"/>
    <w:rsid w:val="001F5501"/>
    <w:rsid w:val="0020380F"/>
    <w:rsid w:val="0020604E"/>
    <w:rsid w:val="00213E1C"/>
    <w:rsid w:val="00223ACC"/>
    <w:rsid w:val="0022606D"/>
    <w:rsid w:val="002369E3"/>
    <w:rsid w:val="00247C55"/>
    <w:rsid w:val="002500D3"/>
    <w:rsid w:val="00251E94"/>
    <w:rsid w:val="00254C54"/>
    <w:rsid w:val="0025753A"/>
    <w:rsid w:val="002634D2"/>
    <w:rsid w:val="002641C3"/>
    <w:rsid w:val="0027782A"/>
    <w:rsid w:val="0029550D"/>
    <w:rsid w:val="00297A14"/>
    <w:rsid w:val="002A00B4"/>
    <w:rsid w:val="002A4DD5"/>
    <w:rsid w:val="002A501D"/>
    <w:rsid w:val="002B19EE"/>
    <w:rsid w:val="002B2D5B"/>
    <w:rsid w:val="002B53FA"/>
    <w:rsid w:val="002D2496"/>
    <w:rsid w:val="002D4369"/>
    <w:rsid w:val="002D60C7"/>
    <w:rsid w:val="002D7087"/>
    <w:rsid w:val="002E1340"/>
    <w:rsid w:val="002E3E3D"/>
    <w:rsid w:val="002F10A8"/>
    <w:rsid w:val="003251A4"/>
    <w:rsid w:val="00331EE6"/>
    <w:rsid w:val="00335B90"/>
    <w:rsid w:val="0034515E"/>
    <w:rsid w:val="003533D2"/>
    <w:rsid w:val="00353CB6"/>
    <w:rsid w:val="00362A30"/>
    <w:rsid w:val="00364AA4"/>
    <w:rsid w:val="00366E08"/>
    <w:rsid w:val="00377DB9"/>
    <w:rsid w:val="00382696"/>
    <w:rsid w:val="003909B6"/>
    <w:rsid w:val="003A235F"/>
    <w:rsid w:val="003B6C16"/>
    <w:rsid w:val="003D0A70"/>
    <w:rsid w:val="004066AA"/>
    <w:rsid w:val="00413338"/>
    <w:rsid w:val="00422F11"/>
    <w:rsid w:val="00436EE8"/>
    <w:rsid w:val="00446DD9"/>
    <w:rsid w:val="004600F7"/>
    <w:rsid w:val="0047130D"/>
    <w:rsid w:val="00475EDE"/>
    <w:rsid w:val="00486B5F"/>
    <w:rsid w:val="00496FBD"/>
    <w:rsid w:val="004A102B"/>
    <w:rsid w:val="004A4DEE"/>
    <w:rsid w:val="004A79A6"/>
    <w:rsid w:val="004C05F6"/>
    <w:rsid w:val="004C231D"/>
    <w:rsid w:val="004C298B"/>
    <w:rsid w:val="004C30B3"/>
    <w:rsid w:val="004D0D73"/>
    <w:rsid w:val="004D6A37"/>
    <w:rsid w:val="004F23B1"/>
    <w:rsid w:val="004F2B14"/>
    <w:rsid w:val="005010BB"/>
    <w:rsid w:val="00504FAE"/>
    <w:rsid w:val="005155D5"/>
    <w:rsid w:val="00515A76"/>
    <w:rsid w:val="0052654C"/>
    <w:rsid w:val="00530BD1"/>
    <w:rsid w:val="0053577C"/>
    <w:rsid w:val="0054093A"/>
    <w:rsid w:val="00556E54"/>
    <w:rsid w:val="00565B41"/>
    <w:rsid w:val="0056622D"/>
    <w:rsid w:val="005720FF"/>
    <w:rsid w:val="00577734"/>
    <w:rsid w:val="005809A6"/>
    <w:rsid w:val="005847AE"/>
    <w:rsid w:val="0058687B"/>
    <w:rsid w:val="005A0E74"/>
    <w:rsid w:val="005A1CCF"/>
    <w:rsid w:val="005A32C7"/>
    <w:rsid w:val="005C692E"/>
    <w:rsid w:val="005D0F5E"/>
    <w:rsid w:val="005D4ABE"/>
    <w:rsid w:val="005E795F"/>
    <w:rsid w:val="005F18D5"/>
    <w:rsid w:val="00604C4E"/>
    <w:rsid w:val="006224FF"/>
    <w:rsid w:val="00640BF7"/>
    <w:rsid w:val="00640D4F"/>
    <w:rsid w:val="00646602"/>
    <w:rsid w:val="0064785F"/>
    <w:rsid w:val="0065799F"/>
    <w:rsid w:val="00663C38"/>
    <w:rsid w:val="00665C91"/>
    <w:rsid w:val="00674BFA"/>
    <w:rsid w:val="006773BC"/>
    <w:rsid w:val="00687D9E"/>
    <w:rsid w:val="00690CAC"/>
    <w:rsid w:val="00691D50"/>
    <w:rsid w:val="006A2373"/>
    <w:rsid w:val="006A2926"/>
    <w:rsid w:val="006A6746"/>
    <w:rsid w:val="006A6E52"/>
    <w:rsid w:val="006A7027"/>
    <w:rsid w:val="006B1B41"/>
    <w:rsid w:val="006B1B83"/>
    <w:rsid w:val="006B4D93"/>
    <w:rsid w:val="006C51E3"/>
    <w:rsid w:val="006C5432"/>
    <w:rsid w:val="006D74A1"/>
    <w:rsid w:val="006E03AE"/>
    <w:rsid w:val="006E6D1E"/>
    <w:rsid w:val="00714995"/>
    <w:rsid w:val="0072170A"/>
    <w:rsid w:val="007378DB"/>
    <w:rsid w:val="007557F5"/>
    <w:rsid w:val="00771E83"/>
    <w:rsid w:val="007A062C"/>
    <w:rsid w:val="007A1E8E"/>
    <w:rsid w:val="007A2B2A"/>
    <w:rsid w:val="007A592F"/>
    <w:rsid w:val="007B09CE"/>
    <w:rsid w:val="007B4D6E"/>
    <w:rsid w:val="007B6800"/>
    <w:rsid w:val="007C40A5"/>
    <w:rsid w:val="007C4F6F"/>
    <w:rsid w:val="007C582F"/>
    <w:rsid w:val="007F1874"/>
    <w:rsid w:val="007F326F"/>
    <w:rsid w:val="007F7A86"/>
    <w:rsid w:val="008018C0"/>
    <w:rsid w:val="0082385A"/>
    <w:rsid w:val="00826000"/>
    <w:rsid w:val="00827BEE"/>
    <w:rsid w:val="0083290C"/>
    <w:rsid w:val="008364B0"/>
    <w:rsid w:val="008528A2"/>
    <w:rsid w:val="00855761"/>
    <w:rsid w:val="00860C30"/>
    <w:rsid w:val="008658EE"/>
    <w:rsid w:val="00870DAB"/>
    <w:rsid w:val="00876394"/>
    <w:rsid w:val="00883D9D"/>
    <w:rsid w:val="00893786"/>
    <w:rsid w:val="0089741C"/>
    <w:rsid w:val="008A418B"/>
    <w:rsid w:val="008C27C5"/>
    <w:rsid w:val="008C2C2C"/>
    <w:rsid w:val="008C2D5E"/>
    <w:rsid w:val="008C46C2"/>
    <w:rsid w:val="008D471D"/>
    <w:rsid w:val="008E565C"/>
    <w:rsid w:val="008F643A"/>
    <w:rsid w:val="00901429"/>
    <w:rsid w:val="00902AEA"/>
    <w:rsid w:val="0090446F"/>
    <w:rsid w:val="00904EFF"/>
    <w:rsid w:val="0090772C"/>
    <w:rsid w:val="0091523B"/>
    <w:rsid w:val="009175FA"/>
    <w:rsid w:val="00935FEF"/>
    <w:rsid w:val="009413FA"/>
    <w:rsid w:val="009448EA"/>
    <w:rsid w:val="00955FF5"/>
    <w:rsid w:val="00960F3C"/>
    <w:rsid w:val="0098726A"/>
    <w:rsid w:val="009A1F45"/>
    <w:rsid w:val="009A4615"/>
    <w:rsid w:val="009A4A3E"/>
    <w:rsid w:val="009D1360"/>
    <w:rsid w:val="009D39C1"/>
    <w:rsid w:val="009E2336"/>
    <w:rsid w:val="009F258E"/>
    <w:rsid w:val="009F38AF"/>
    <w:rsid w:val="009F5C8B"/>
    <w:rsid w:val="00A36847"/>
    <w:rsid w:val="00A47C1C"/>
    <w:rsid w:val="00A52E71"/>
    <w:rsid w:val="00A61E74"/>
    <w:rsid w:val="00A62AC9"/>
    <w:rsid w:val="00A65608"/>
    <w:rsid w:val="00A670A4"/>
    <w:rsid w:val="00A77E62"/>
    <w:rsid w:val="00A8051E"/>
    <w:rsid w:val="00A80541"/>
    <w:rsid w:val="00A83455"/>
    <w:rsid w:val="00A8563E"/>
    <w:rsid w:val="00AA2AE2"/>
    <w:rsid w:val="00AB0CEE"/>
    <w:rsid w:val="00AB28EF"/>
    <w:rsid w:val="00AB7F25"/>
    <w:rsid w:val="00AC057F"/>
    <w:rsid w:val="00AC2D12"/>
    <w:rsid w:val="00AE3E9B"/>
    <w:rsid w:val="00B014C9"/>
    <w:rsid w:val="00B01A8D"/>
    <w:rsid w:val="00B100A8"/>
    <w:rsid w:val="00B10E4E"/>
    <w:rsid w:val="00B12B71"/>
    <w:rsid w:val="00B173DB"/>
    <w:rsid w:val="00B17824"/>
    <w:rsid w:val="00B27D19"/>
    <w:rsid w:val="00B3079B"/>
    <w:rsid w:val="00B33966"/>
    <w:rsid w:val="00B34B71"/>
    <w:rsid w:val="00B36D7C"/>
    <w:rsid w:val="00B43326"/>
    <w:rsid w:val="00B61C93"/>
    <w:rsid w:val="00B63780"/>
    <w:rsid w:val="00B649C7"/>
    <w:rsid w:val="00B7068C"/>
    <w:rsid w:val="00B72F6D"/>
    <w:rsid w:val="00B76EDE"/>
    <w:rsid w:val="00B87FE6"/>
    <w:rsid w:val="00BA5C19"/>
    <w:rsid w:val="00BB56CE"/>
    <w:rsid w:val="00BB77E6"/>
    <w:rsid w:val="00BC445A"/>
    <w:rsid w:val="00BE6A10"/>
    <w:rsid w:val="00BF3983"/>
    <w:rsid w:val="00BF5563"/>
    <w:rsid w:val="00BF6496"/>
    <w:rsid w:val="00C02CC1"/>
    <w:rsid w:val="00C0365D"/>
    <w:rsid w:val="00C14FC9"/>
    <w:rsid w:val="00C23DD0"/>
    <w:rsid w:val="00C269CA"/>
    <w:rsid w:val="00C2783D"/>
    <w:rsid w:val="00C312CC"/>
    <w:rsid w:val="00C33265"/>
    <w:rsid w:val="00C34328"/>
    <w:rsid w:val="00C35EA7"/>
    <w:rsid w:val="00C70D4D"/>
    <w:rsid w:val="00C71A4E"/>
    <w:rsid w:val="00C764B5"/>
    <w:rsid w:val="00C814AF"/>
    <w:rsid w:val="00CA5FFD"/>
    <w:rsid w:val="00CA62C9"/>
    <w:rsid w:val="00CB4367"/>
    <w:rsid w:val="00CC2236"/>
    <w:rsid w:val="00CC2960"/>
    <w:rsid w:val="00CE1BD3"/>
    <w:rsid w:val="00CE3F71"/>
    <w:rsid w:val="00D30814"/>
    <w:rsid w:val="00D44583"/>
    <w:rsid w:val="00D47BB4"/>
    <w:rsid w:val="00D50423"/>
    <w:rsid w:val="00D54698"/>
    <w:rsid w:val="00D77775"/>
    <w:rsid w:val="00D81A33"/>
    <w:rsid w:val="00D84AA0"/>
    <w:rsid w:val="00D87F05"/>
    <w:rsid w:val="00D93636"/>
    <w:rsid w:val="00D9766A"/>
    <w:rsid w:val="00DA48D5"/>
    <w:rsid w:val="00DA624A"/>
    <w:rsid w:val="00DC00EF"/>
    <w:rsid w:val="00DC2A76"/>
    <w:rsid w:val="00DD1B81"/>
    <w:rsid w:val="00DD56D6"/>
    <w:rsid w:val="00DD64C7"/>
    <w:rsid w:val="00DE0DA8"/>
    <w:rsid w:val="00DE636F"/>
    <w:rsid w:val="00DF007D"/>
    <w:rsid w:val="00DF59D2"/>
    <w:rsid w:val="00DF5A8B"/>
    <w:rsid w:val="00E06151"/>
    <w:rsid w:val="00E14B45"/>
    <w:rsid w:val="00E15917"/>
    <w:rsid w:val="00E2405C"/>
    <w:rsid w:val="00E2538A"/>
    <w:rsid w:val="00E42E80"/>
    <w:rsid w:val="00E61493"/>
    <w:rsid w:val="00E70262"/>
    <w:rsid w:val="00E83776"/>
    <w:rsid w:val="00E93DAB"/>
    <w:rsid w:val="00E95B06"/>
    <w:rsid w:val="00E96F1A"/>
    <w:rsid w:val="00EA35EF"/>
    <w:rsid w:val="00EB1E77"/>
    <w:rsid w:val="00EB647A"/>
    <w:rsid w:val="00EB7DC4"/>
    <w:rsid w:val="00EF433A"/>
    <w:rsid w:val="00EF65FC"/>
    <w:rsid w:val="00F07540"/>
    <w:rsid w:val="00F11BC8"/>
    <w:rsid w:val="00F13F8F"/>
    <w:rsid w:val="00F142E7"/>
    <w:rsid w:val="00F179E3"/>
    <w:rsid w:val="00F20370"/>
    <w:rsid w:val="00F25BCE"/>
    <w:rsid w:val="00F25F6A"/>
    <w:rsid w:val="00F27C55"/>
    <w:rsid w:val="00F51715"/>
    <w:rsid w:val="00F540CD"/>
    <w:rsid w:val="00F60292"/>
    <w:rsid w:val="00F64555"/>
    <w:rsid w:val="00F66089"/>
    <w:rsid w:val="00F70D11"/>
    <w:rsid w:val="00F74684"/>
    <w:rsid w:val="00F84A85"/>
    <w:rsid w:val="00F86863"/>
    <w:rsid w:val="00F936C5"/>
    <w:rsid w:val="00F93A08"/>
    <w:rsid w:val="00FA1F7A"/>
    <w:rsid w:val="00FA54BD"/>
    <w:rsid w:val="00FB068C"/>
    <w:rsid w:val="00FB1F1E"/>
    <w:rsid w:val="00FB7F12"/>
    <w:rsid w:val="00FC08F4"/>
    <w:rsid w:val="00FC0F15"/>
    <w:rsid w:val="00FC1FD9"/>
    <w:rsid w:val="00FC27E6"/>
    <w:rsid w:val="00FC368D"/>
    <w:rsid w:val="00FC4640"/>
    <w:rsid w:val="00FD099F"/>
    <w:rsid w:val="00FD73A0"/>
    <w:rsid w:val="00FE0F94"/>
    <w:rsid w:val="00FF6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1DBF9"/>
  <w15:docId w15:val="{F8ECF51F-7A25-4C20-B544-4AA7EBC38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rmal (Web)"/>
    <w:basedOn w:val="a"/>
    <w:uiPriority w:val="99"/>
    <w:semiHidden/>
    <w:unhideWhenUsed/>
    <w:rsid w:val="00413338"/>
    <w:rPr>
      <w:sz w:val="24"/>
      <w:szCs w:val="24"/>
    </w:rPr>
  </w:style>
  <w:style w:type="character" w:styleId="af">
    <w:name w:val="Unresolved Mention"/>
    <w:basedOn w:val="a0"/>
    <w:uiPriority w:val="99"/>
    <w:semiHidden/>
    <w:unhideWhenUsed/>
    <w:rsid w:val="00B36D7C"/>
    <w:rPr>
      <w:color w:val="605E5C"/>
      <w:shd w:val="clear" w:color="auto" w:fill="E1DFDD"/>
    </w:rPr>
  </w:style>
  <w:style w:type="paragraph" w:styleId="af0">
    <w:name w:val="footer"/>
    <w:basedOn w:val="a"/>
    <w:link w:val="af1"/>
    <w:uiPriority w:val="99"/>
    <w:unhideWhenUsed/>
    <w:rsid w:val="00F936C5"/>
    <w:pPr>
      <w:tabs>
        <w:tab w:val="center" w:pos="4844"/>
        <w:tab w:val="right" w:pos="9689"/>
      </w:tabs>
      <w:spacing w:after="0" w:line="240" w:lineRule="auto"/>
    </w:pPr>
  </w:style>
  <w:style w:type="character" w:customStyle="1" w:styleId="af1">
    <w:name w:val="Нижний колонтитул Знак"/>
    <w:basedOn w:val="a0"/>
    <w:link w:val="af0"/>
    <w:uiPriority w:val="99"/>
    <w:rsid w:val="00F936C5"/>
    <w:rPr>
      <w:rFonts w:ascii="Times New Roman" w:eastAsia="Times New Roman" w:hAnsi="Times New Roman" w:cs="Times New Roman"/>
    </w:rPr>
  </w:style>
  <w:style w:type="table" w:customStyle="1" w:styleId="11">
    <w:name w:val="Сетка таблицы1"/>
    <w:basedOn w:val="a1"/>
    <w:next w:val="ac"/>
    <w:uiPriority w:val="59"/>
    <w:rsid w:val="006A292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aliases w:val="Обя,мелкий,мой рабочий,No Spacing,норма,Айгерим,14 TNR,No Spacing1,No Spacing11,No Spacing_0,No Spacing_0_0,No Spacing_0_0_0,No Spacing_0_0_0_0,Без интервала1,Без интервала11,Без интервала2,Без интервала21,Без интервала211,Без интервала3"/>
    <w:uiPriority w:val="1"/>
    <w:qFormat/>
    <w:rsid w:val="001959C6"/>
    <w:pPr>
      <w:spacing w:after="0" w:line="240" w:lineRule="auto"/>
    </w:pPr>
    <w:rPr>
      <w:rFonts w:ascii="Calibri" w:eastAsia="Calibri" w:hAnsi="Calibri" w:cs="Times New Roman"/>
      <w:lang w:val="ru-RU"/>
    </w:rPr>
  </w:style>
  <w:style w:type="character" w:styleId="af3">
    <w:name w:val="annotation reference"/>
    <w:basedOn w:val="a0"/>
    <w:uiPriority w:val="99"/>
    <w:semiHidden/>
    <w:unhideWhenUsed/>
    <w:rsid w:val="0064785F"/>
    <w:rPr>
      <w:sz w:val="16"/>
      <w:szCs w:val="16"/>
    </w:rPr>
  </w:style>
  <w:style w:type="paragraph" w:styleId="af4">
    <w:name w:val="annotation text"/>
    <w:basedOn w:val="a"/>
    <w:link w:val="af5"/>
    <w:uiPriority w:val="99"/>
    <w:semiHidden/>
    <w:unhideWhenUsed/>
    <w:rsid w:val="0064785F"/>
    <w:pPr>
      <w:spacing w:line="240" w:lineRule="auto"/>
    </w:pPr>
    <w:rPr>
      <w:sz w:val="20"/>
      <w:szCs w:val="20"/>
    </w:rPr>
  </w:style>
  <w:style w:type="character" w:customStyle="1" w:styleId="af5">
    <w:name w:val="Текст примечания Знак"/>
    <w:basedOn w:val="a0"/>
    <w:link w:val="af4"/>
    <w:uiPriority w:val="99"/>
    <w:semiHidden/>
    <w:rsid w:val="0064785F"/>
    <w:rPr>
      <w:rFonts w:ascii="Times New Roman" w:eastAsia="Times New Roman" w:hAnsi="Times New Roman" w:cs="Times New Roman"/>
      <w:sz w:val="20"/>
      <w:szCs w:val="20"/>
    </w:rPr>
  </w:style>
  <w:style w:type="paragraph" w:styleId="af6">
    <w:name w:val="annotation subject"/>
    <w:basedOn w:val="af4"/>
    <w:next w:val="af4"/>
    <w:link w:val="af7"/>
    <w:uiPriority w:val="99"/>
    <w:semiHidden/>
    <w:unhideWhenUsed/>
    <w:rsid w:val="0064785F"/>
    <w:rPr>
      <w:b/>
      <w:bCs/>
    </w:rPr>
  </w:style>
  <w:style w:type="character" w:customStyle="1" w:styleId="af7">
    <w:name w:val="Тема примечания Знак"/>
    <w:basedOn w:val="af5"/>
    <w:link w:val="af6"/>
    <w:uiPriority w:val="99"/>
    <w:semiHidden/>
    <w:rsid w:val="0064785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8536">
      <w:bodyDiv w:val="1"/>
      <w:marLeft w:val="0"/>
      <w:marRight w:val="0"/>
      <w:marTop w:val="0"/>
      <w:marBottom w:val="0"/>
      <w:divBdr>
        <w:top w:val="none" w:sz="0" w:space="0" w:color="auto"/>
        <w:left w:val="none" w:sz="0" w:space="0" w:color="auto"/>
        <w:bottom w:val="none" w:sz="0" w:space="0" w:color="auto"/>
        <w:right w:val="none" w:sz="0" w:space="0" w:color="auto"/>
      </w:divBdr>
    </w:div>
    <w:div w:id="83113177">
      <w:bodyDiv w:val="1"/>
      <w:marLeft w:val="0"/>
      <w:marRight w:val="0"/>
      <w:marTop w:val="0"/>
      <w:marBottom w:val="0"/>
      <w:divBdr>
        <w:top w:val="none" w:sz="0" w:space="0" w:color="auto"/>
        <w:left w:val="none" w:sz="0" w:space="0" w:color="auto"/>
        <w:bottom w:val="none" w:sz="0" w:space="0" w:color="auto"/>
        <w:right w:val="none" w:sz="0" w:space="0" w:color="auto"/>
      </w:divBdr>
    </w:div>
    <w:div w:id="100733059">
      <w:bodyDiv w:val="1"/>
      <w:marLeft w:val="0"/>
      <w:marRight w:val="0"/>
      <w:marTop w:val="0"/>
      <w:marBottom w:val="0"/>
      <w:divBdr>
        <w:top w:val="none" w:sz="0" w:space="0" w:color="auto"/>
        <w:left w:val="none" w:sz="0" w:space="0" w:color="auto"/>
        <w:bottom w:val="none" w:sz="0" w:space="0" w:color="auto"/>
        <w:right w:val="none" w:sz="0" w:space="0" w:color="auto"/>
      </w:divBdr>
    </w:div>
    <w:div w:id="111941395">
      <w:bodyDiv w:val="1"/>
      <w:marLeft w:val="0"/>
      <w:marRight w:val="0"/>
      <w:marTop w:val="0"/>
      <w:marBottom w:val="0"/>
      <w:divBdr>
        <w:top w:val="none" w:sz="0" w:space="0" w:color="auto"/>
        <w:left w:val="none" w:sz="0" w:space="0" w:color="auto"/>
        <w:bottom w:val="none" w:sz="0" w:space="0" w:color="auto"/>
        <w:right w:val="none" w:sz="0" w:space="0" w:color="auto"/>
      </w:divBdr>
    </w:div>
    <w:div w:id="135802966">
      <w:bodyDiv w:val="1"/>
      <w:marLeft w:val="0"/>
      <w:marRight w:val="0"/>
      <w:marTop w:val="0"/>
      <w:marBottom w:val="0"/>
      <w:divBdr>
        <w:top w:val="none" w:sz="0" w:space="0" w:color="auto"/>
        <w:left w:val="none" w:sz="0" w:space="0" w:color="auto"/>
        <w:bottom w:val="none" w:sz="0" w:space="0" w:color="auto"/>
        <w:right w:val="none" w:sz="0" w:space="0" w:color="auto"/>
      </w:divBdr>
    </w:div>
    <w:div w:id="155533984">
      <w:bodyDiv w:val="1"/>
      <w:marLeft w:val="0"/>
      <w:marRight w:val="0"/>
      <w:marTop w:val="0"/>
      <w:marBottom w:val="0"/>
      <w:divBdr>
        <w:top w:val="none" w:sz="0" w:space="0" w:color="auto"/>
        <w:left w:val="none" w:sz="0" w:space="0" w:color="auto"/>
        <w:bottom w:val="none" w:sz="0" w:space="0" w:color="auto"/>
        <w:right w:val="none" w:sz="0" w:space="0" w:color="auto"/>
      </w:divBdr>
    </w:div>
    <w:div w:id="251087774">
      <w:bodyDiv w:val="1"/>
      <w:marLeft w:val="0"/>
      <w:marRight w:val="0"/>
      <w:marTop w:val="0"/>
      <w:marBottom w:val="0"/>
      <w:divBdr>
        <w:top w:val="none" w:sz="0" w:space="0" w:color="auto"/>
        <w:left w:val="none" w:sz="0" w:space="0" w:color="auto"/>
        <w:bottom w:val="none" w:sz="0" w:space="0" w:color="auto"/>
        <w:right w:val="none" w:sz="0" w:space="0" w:color="auto"/>
      </w:divBdr>
    </w:div>
    <w:div w:id="253779547">
      <w:bodyDiv w:val="1"/>
      <w:marLeft w:val="0"/>
      <w:marRight w:val="0"/>
      <w:marTop w:val="0"/>
      <w:marBottom w:val="0"/>
      <w:divBdr>
        <w:top w:val="none" w:sz="0" w:space="0" w:color="auto"/>
        <w:left w:val="none" w:sz="0" w:space="0" w:color="auto"/>
        <w:bottom w:val="none" w:sz="0" w:space="0" w:color="auto"/>
        <w:right w:val="none" w:sz="0" w:space="0" w:color="auto"/>
      </w:divBdr>
    </w:div>
    <w:div w:id="339819123">
      <w:bodyDiv w:val="1"/>
      <w:marLeft w:val="0"/>
      <w:marRight w:val="0"/>
      <w:marTop w:val="0"/>
      <w:marBottom w:val="0"/>
      <w:divBdr>
        <w:top w:val="none" w:sz="0" w:space="0" w:color="auto"/>
        <w:left w:val="none" w:sz="0" w:space="0" w:color="auto"/>
        <w:bottom w:val="none" w:sz="0" w:space="0" w:color="auto"/>
        <w:right w:val="none" w:sz="0" w:space="0" w:color="auto"/>
      </w:divBdr>
    </w:div>
    <w:div w:id="357387803">
      <w:bodyDiv w:val="1"/>
      <w:marLeft w:val="0"/>
      <w:marRight w:val="0"/>
      <w:marTop w:val="0"/>
      <w:marBottom w:val="0"/>
      <w:divBdr>
        <w:top w:val="none" w:sz="0" w:space="0" w:color="auto"/>
        <w:left w:val="none" w:sz="0" w:space="0" w:color="auto"/>
        <w:bottom w:val="none" w:sz="0" w:space="0" w:color="auto"/>
        <w:right w:val="none" w:sz="0" w:space="0" w:color="auto"/>
      </w:divBdr>
    </w:div>
    <w:div w:id="376586580">
      <w:bodyDiv w:val="1"/>
      <w:marLeft w:val="0"/>
      <w:marRight w:val="0"/>
      <w:marTop w:val="0"/>
      <w:marBottom w:val="0"/>
      <w:divBdr>
        <w:top w:val="none" w:sz="0" w:space="0" w:color="auto"/>
        <w:left w:val="none" w:sz="0" w:space="0" w:color="auto"/>
        <w:bottom w:val="none" w:sz="0" w:space="0" w:color="auto"/>
        <w:right w:val="none" w:sz="0" w:space="0" w:color="auto"/>
      </w:divBdr>
    </w:div>
    <w:div w:id="387804331">
      <w:bodyDiv w:val="1"/>
      <w:marLeft w:val="0"/>
      <w:marRight w:val="0"/>
      <w:marTop w:val="0"/>
      <w:marBottom w:val="0"/>
      <w:divBdr>
        <w:top w:val="none" w:sz="0" w:space="0" w:color="auto"/>
        <w:left w:val="none" w:sz="0" w:space="0" w:color="auto"/>
        <w:bottom w:val="none" w:sz="0" w:space="0" w:color="auto"/>
        <w:right w:val="none" w:sz="0" w:space="0" w:color="auto"/>
      </w:divBdr>
    </w:div>
    <w:div w:id="395325195">
      <w:bodyDiv w:val="1"/>
      <w:marLeft w:val="0"/>
      <w:marRight w:val="0"/>
      <w:marTop w:val="0"/>
      <w:marBottom w:val="0"/>
      <w:divBdr>
        <w:top w:val="none" w:sz="0" w:space="0" w:color="auto"/>
        <w:left w:val="none" w:sz="0" w:space="0" w:color="auto"/>
        <w:bottom w:val="none" w:sz="0" w:space="0" w:color="auto"/>
        <w:right w:val="none" w:sz="0" w:space="0" w:color="auto"/>
      </w:divBdr>
    </w:div>
    <w:div w:id="425545106">
      <w:bodyDiv w:val="1"/>
      <w:marLeft w:val="0"/>
      <w:marRight w:val="0"/>
      <w:marTop w:val="0"/>
      <w:marBottom w:val="0"/>
      <w:divBdr>
        <w:top w:val="none" w:sz="0" w:space="0" w:color="auto"/>
        <w:left w:val="none" w:sz="0" w:space="0" w:color="auto"/>
        <w:bottom w:val="none" w:sz="0" w:space="0" w:color="auto"/>
        <w:right w:val="none" w:sz="0" w:space="0" w:color="auto"/>
      </w:divBdr>
    </w:div>
    <w:div w:id="446462263">
      <w:bodyDiv w:val="1"/>
      <w:marLeft w:val="0"/>
      <w:marRight w:val="0"/>
      <w:marTop w:val="0"/>
      <w:marBottom w:val="0"/>
      <w:divBdr>
        <w:top w:val="none" w:sz="0" w:space="0" w:color="auto"/>
        <w:left w:val="none" w:sz="0" w:space="0" w:color="auto"/>
        <w:bottom w:val="none" w:sz="0" w:space="0" w:color="auto"/>
        <w:right w:val="none" w:sz="0" w:space="0" w:color="auto"/>
      </w:divBdr>
    </w:div>
    <w:div w:id="482283720">
      <w:bodyDiv w:val="1"/>
      <w:marLeft w:val="0"/>
      <w:marRight w:val="0"/>
      <w:marTop w:val="0"/>
      <w:marBottom w:val="0"/>
      <w:divBdr>
        <w:top w:val="none" w:sz="0" w:space="0" w:color="auto"/>
        <w:left w:val="none" w:sz="0" w:space="0" w:color="auto"/>
        <w:bottom w:val="none" w:sz="0" w:space="0" w:color="auto"/>
        <w:right w:val="none" w:sz="0" w:space="0" w:color="auto"/>
      </w:divBdr>
    </w:div>
    <w:div w:id="501555782">
      <w:bodyDiv w:val="1"/>
      <w:marLeft w:val="0"/>
      <w:marRight w:val="0"/>
      <w:marTop w:val="0"/>
      <w:marBottom w:val="0"/>
      <w:divBdr>
        <w:top w:val="none" w:sz="0" w:space="0" w:color="auto"/>
        <w:left w:val="none" w:sz="0" w:space="0" w:color="auto"/>
        <w:bottom w:val="none" w:sz="0" w:space="0" w:color="auto"/>
        <w:right w:val="none" w:sz="0" w:space="0" w:color="auto"/>
      </w:divBdr>
    </w:div>
    <w:div w:id="503283188">
      <w:bodyDiv w:val="1"/>
      <w:marLeft w:val="0"/>
      <w:marRight w:val="0"/>
      <w:marTop w:val="0"/>
      <w:marBottom w:val="0"/>
      <w:divBdr>
        <w:top w:val="none" w:sz="0" w:space="0" w:color="auto"/>
        <w:left w:val="none" w:sz="0" w:space="0" w:color="auto"/>
        <w:bottom w:val="none" w:sz="0" w:space="0" w:color="auto"/>
        <w:right w:val="none" w:sz="0" w:space="0" w:color="auto"/>
      </w:divBdr>
    </w:div>
    <w:div w:id="507064857">
      <w:bodyDiv w:val="1"/>
      <w:marLeft w:val="0"/>
      <w:marRight w:val="0"/>
      <w:marTop w:val="0"/>
      <w:marBottom w:val="0"/>
      <w:divBdr>
        <w:top w:val="none" w:sz="0" w:space="0" w:color="auto"/>
        <w:left w:val="none" w:sz="0" w:space="0" w:color="auto"/>
        <w:bottom w:val="none" w:sz="0" w:space="0" w:color="auto"/>
        <w:right w:val="none" w:sz="0" w:space="0" w:color="auto"/>
      </w:divBdr>
    </w:div>
    <w:div w:id="524489691">
      <w:bodyDiv w:val="1"/>
      <w:marLeft w:val="0"/>
      <w:marRight w:val="0"/>
      <w:marTop w:val="0"/>
      <w:marBottom w:val="0"/>
      <w:divBdr>
        <w:top w:val="none" w:sz="0" w:space="0" w:color="auto"/>
        <w:left w:val="none" w:sz="0" w:space="0" w:color="auto"/>
        <w:bottom w:val="none" w:sz="0" w:space="0" w:color="auto"/>
        <w:right w:val="none" w:sz="0" w:space="0" w:color="auto"/>
      </w:divBdr>
    </w:div>
    <w:div w:id="561140496">
      <w:bodyDiv w:val="1"/>
      <w:marLeft w:val="0"/>
      <w:marRight w:val="0"/>
      <w:marTop w:val="0"/>
      <w:marBottom w:val="0"/>
      <w:divBdr>
        <w:top w:val="none" w:sz="0" w:space="0" w:color="auto"/>
        <w:left w:val="none" w:sz="0" w:space="0" w:color="auto"/>
        <w:bottom w:val="none" w:sz="0" w:space="0" w:color="auto"/>
        <w:right w:val="none" w:sz="0" w:space="0" w:color="auto"/>
      </w:divBdr>
    </w:div>
    <w:div w:id="696588725">
      <w:bodyDiv w:val="1"/>
      <w:marLeft w:val="0"/>
      <w:marRight w:val="0"/>
      <w:marTop w:val="0"/>
      <w:marBottom w:val="0"/>
      <w:divBdr>
        <w:top w:val="none" w:sz="0" w:space="0" w:color="auto"/>
        <w:left w:val="none" w:sz="0" w:space="0" w:color="auto"/>
        <w:bottom w:val="none" w:sz="0" w:space="0" w:color="auto"/>
        <w:right w:val="none" w:sz="0" w:space="0" w:color="auto"/>
      </w:divBdr>
    </w:div>
    <w:div w:id="784692941">
      <w:bodyDiv w:val="1"/>
      <w:marLeft w:val="0"/>
      <w:marRight w:val="0"/>
      <w:marTop w:val="0"/>
      <w:marBottom w:val="0"/>
      <w:divBdr>
        <w:top w:val="none" w:sz="0" w:space="0" w:color="auto"/>
        <w:left w:val="none" w:sz="0" w:space="0" w:color="auto"/>
        <w:bottom w:val="none" w:sz="0" w:space="0" w:color="auto"/>
        <w:right w:val="none" w:sz="0" w:space="0" w:color="auto"/>
      </w:divBdr>
    </w:div>
    <w:div w:id="803961195">
      <w:bodyDiv w:val="1"/>
      <w:marLeft w:val="0"/>
      <w:marRight w:val="0"/>
      <w:marTop w:val="0"/>
      <w:marBottom w:val="0"/>
      <w:divBdr>
        <w:top w:val="none" w:sz="0" w:space="0" w:color="auto"/>
        <w:left w:val="none" w:sz="0" w:space="0" w:color="auto"/>
        <w:bottom w:val="none" w:sz="0" w:space="0" w:color="auto"/>
        <w:right w:val="none" w:sz="0" w:space="0" w:color="auto"/>
      </w:divBdr>
    </w:div>
    <w:div w:id="807086080">
      <w:bodyDiv w:val="1"/>
      <w:marLeft w:val="0"/>
      <w:marRight w:val="0"/>
      <w:marTop w:val="0"/>
      <w:marBottom w:val="0"/>
      <w:divBdr>
        <w:top w:val="none" w:sz="0" w:space="0" w:color="auto"/>
        <w:left w:val="none" w:sz="0" w:space="0" w:color="auto"/>
        <w:bottom w:val="none" w:sz="0" w:space="0" w:color="auto"/>
        <w:right w:val="none" w:sz="0" w:space="0" w:color="auto"/>
      </w:divBdr>
    </w:div>
    <w:div w:id="815415177">
      <w:bodyDiv w:val="1"/>
      <w:marLeft w:val="0"/>
      <w:marRight w:val="0"/>
      <w:marTop w:val="0"/>
      <w:marBottom w:val="0"/>
      <w:divBdr>
        <w:top w:val="none" w:sz="0" w:space="0" w:color="auto"/>
        <w:left w:val="none" w:sz="0" w:space="0" w:color="auto"/>
        <w:bottom w:val="none" w:sz="0" w:space="0" w:color="auto"/>
        <w:right w:val="none" w:sz="0" w:space="0" w:color="auto"/>
      </w:divBdr>
    </w:div>
    <w:div w:id="815924176">
      <w:bodyDiv w:val="1"/>
      <w:marLeft w:val="0"/>
      <w:marRight w:val="0"/>
      <w:marTop w:val="0"/>
      <w:marBottom w:val="0"/>
      <w:divBdr>
        <w:top w:val="none" w:sz="0" w:space="0" w:color="auto"/>
        <w:left w:val="none" w:sz="0" w:space="0" w:color="auto"/>
        <w:bottom w:val="none" w:sz="0" w:space="0" w:color="auto"/>
        <w:right w:val="none" w:sz="0" w:space="0" w:color="auto"/>
      </w:divBdr>
    </w:div>
    <w:div w:id="914170625">
      <w:bodyDiv w:val="1"/>
      <w:marLeft w:val="0"/>
      <w:marRight w:val="0"/>
      <w:marTop w:val="0"/>
      <w:marBottom w:val="0"/>
      <w:divBdr>
        <w:top w:val="none" w:sz="0" w:space="0" w:color="auto"/>
        <w:left w:val="none" w:sz="0" w:space="0" w:color="auto"/>
        <w:bottom w:val="none" w:sz="0" w:space="0" w:color="auto"/>
        <w:right w:val="none" w:sz="0" w:space="0" w:color="auto"/>
      </w:divBdr>
    </w:div>
    <w:div w:id="929854994">
      <w:bodyDiv w:val="1"/>
      <w:marLeft w:val="0"/>
      <w:marRight w:val="0"/>
      <w:marTop w:val="0"/>
      <w:marBottom w:val="0"/>
      <w:divBdr>
        <w:top w:val="none" w:sz="0" w:space="0" w:color="auto"/>
        <w:left w:val="none" w:sz="0" w:space="0" w:color="auto"/>
        <w:bottom w:val="none" w:sz="0" w:space="0" w:color="auto"/>
        <w:right w:val="none" w:sz="0" w:space="0" w:color="auto"/>
      </w:divBdr>
    </w:div>
    <w:div w:id="988366176">
      <w:bodyDiv w:val="1"/>
      <w:marLeft w:val="0"/>
      <w:marRight w:val="0"/>
      <w:marTop w:val="0"/>
      <w:marBottom w:val="0"/>
      <w:divBdr>
        <w:top w:val="none" w:sz="0" w:space="0" w:color="auto"/>
        <w:left w:val="none" w:sz="0" w:space="0" w:color="auto"/>
        <w:bottom w:val="none" w:sz="0" w:space="0" w:color="auto"/>
        <w:right w:val="none" w:sz="0" w:space="0" w:color="auto"/>
      </w:divBdr>
    </w:div>
    <w:div w:id="992098942">
      <w:bodyDiv w:val="1"/>
      <w:marLeft w:val="0"/>
      <w:marRight w:val="0"/>
      <w:marTop w:val="0"/>
      <w:marBottom w:val="0"/>
      <w:divBdr>
        <w:top w:val="none" w:sz="0" w:space="0" w:color="auto"/>
        <w:left w:val="none" w:sz="0" w:space="0" w:color="auto"/>
        <w:bottom w:val="none" w:sz="0" w:space="0" w:color="auto"/>
        <w:right w:val="none" w:sz="0" w:space="0" w:color="auto"/>
      </w:divBdr>
    </w:div>
    <w:div w:id="1004553670">
      <w:bodyDiv w:val="1"/>
      <w:marLeft w:val="0"/>
      <w:marRight w:val="0"/>
      <w:marTop w:val="0"/>
      <w:marBottom w:val="0"/>
      <w:divBdr>
        <w:top w:val="none" w:sz="0" w:space="0" w:color="auto"/>
        <w:left w:val="none" w:sz="0" w:space="0" w:color="auto"/>
        <w:bottom w:val="none" w:sz="0" w:space="0" w:color="auto"/>
        <w:right w:val="none" w:sz="0" w:space="0" w:color="auto"/>
      </w:divBdr>
    </w:div>
    <w:div w:id="1046027054">
      <w:bodyDiv w:val="1"/>
      <w:marLeft w:val="0"/>
      <w:marRight w:val="0"/>
      <w:marTop w:val="0"/>
      <w:marBottom w:val="0"/>
      <w:divBdr>
        <w:top w:val="none" w:sz="0" w:space="0" w:color="auto"/>
        <w:left w:val="none" w:sz="0" w:space="0" w:color="auto"/>
        <w:bottom w:val="none" w:sz="0" w:space="0" w:color="auto"/>
        <w:right w:val="none" w:sz="0" w:space="0" w:color="auto"/>
      </w:divBdr>
    </w:div>
    <w:div w:id="1118521655">
      <w:bodyDiv w:val="1"/>
      <w:marLeft w:val="0"/>
      <w:marRight w:val="0"/>
      <w:marTop w:val="0"/>
      <w:marBottom w:val="0"/>
      <w:divBdr>
        <w:top w:val="none" w:sz="0" w:space="0" w:color="auto"/>
        <w:left w:val="none" w:sz="0" w:space="0" w:color="auto"/>
        <w:bottom w:val="none" w:sz="0" w:space="0" w:color="auto"/>
        <w:right w:val="none" w:sz="0" w:space="0" w:color="auto"/>
      </w:divBdr>
    </w:div>
    <w:div w:id="1126704921">
      <w:bodyDiv w:val="1"/>
      <w:marLeft w:val="0"/>
      <w:marRight w:val="0"/>
      <w:marTop w:val="0"/>
      <w:marBottom w:val="0"/>
      <w:divBdr>
        <w:top w:val="none" w:sz="0" w:space="0" w:color="auto"/>
        <w:left w:val="none" w:sz="0" w:space="0" w:color="auto"/>
        <w:bottom w:val="none" w:sz="0" w:space="0" w:color="auto"/>
        <w:right w:val="none" w:sz="0" w:space="0" w:color="auto"/>
      </w:divBdr>
    </w:div>
    <w:div w:id="1165587546">
      <w:bodyDiv w:val="1"/>
      <w:marLeft w:val="0"/>
      <w:marRight w:val="0"/>
      <w:marTop w:val="0"/>
      <w:marBottom w:val="0"/>
      <w:divBdr>
        <w:top w:val="none" w:sz="0" w:space="0" w:color="auto"/>
        <w:left w:val="none" w:sz="0" w:space="0" w:color="auto"/>
        <w:bottom w:val="none" w:sz="0" w:space="0" w:color="auto"/>
        <w:right w:val="none" w:sz="0" w:space="0" w:color="auto"/>
      </w:divBdr>
    </w:div>
    <w:div w:id="1203060216">
      <w:bodyDiv w:val="1"/>
      <w:marLeft w:val="0"/>
      <w:marRight w:val="0"/>
      <w:marTop w:val="0"/>
      <w:marBottom w:val="0"/>
      <w:divBdr>
        <w:top w:val="none" w:sz="0" w:space="0" w:color="auto"/>
        <w:left w:val="none" w:sz="0" w:space="0" w:color="auto"/>
        <w:bottom w:val="none" w:sz="0" w:space="0" w:color="auto"/>
        <w:right w:val="none" w:sz="0" w:space="0" w:color="auto"/>
      </w:divBdr>
    </w:div>
    <w:div w:id="1222784888">
      <w:bodyDiv w:val="1"/>
      <w:marLeft w:val="0"/>
      <w:marRight w:val="0"/>
      <w:marTop w:val="0"/>
      <w:marBottom w:val="0"/>
      <w:divBdr>
        <w:top w:val="none" w:sz="0" w:space="0" w:color="auto"/>
        <w:left w:val="none" w:sz="0" w:space="0" w:color="auto"/>
        <w:bottom w:val="none" w:sz="0" w:space="0" w:color="auto"/>
        <w:right w:val="none" w:sz="0" w:space="0" w:color="auto"/>
      </w:divBdr>
    </w:div>
    <w:div w:id="1238517708">
      <w:bodyDiv w:val="1"/>
      <w:marLeft w:val="0"/>
      <w:marRight w:val="0"/>
      <w:marTop w:val="0"/>
      <w:marBottom w:val="0"/>
      <w:divBdr>
        <w:top w:val="none" w:sz="0" w:space="0" w:color="auto"/>
        <w:left w:val="none" w:sz="0" w:space="0" w:color="auto"/>
        <w:bottom w:val="none" w:sz="0" w:space="0" w:color="auto"/>
        <w:right w:val="none" w:sz="0" w:space="0" w:color="auto"/>
      </w:divBdr>
    </w:div>
    <w:div w:id="1251810798">
      <w:bodyDiv w:val="1"/>
      <w:marLeft w:val="0"/>
      <w:marRight w:val="0"/>
      <w:marTop w:val="0"/>
      <w:marBottom w:val="0"/>
      <w:divBdr>
        <w:top w:val="none" w:sz="0" w:space="0" w:color="auto"/>
        <w:left w:val="none" w:sz="0" w:space="0" w:color="auto"/>
        <w:bottom w:val="none" w:sz="0" w:space="0" w:color="auto"/>
        <w:right w:val="none" w:sz="0" w:space="0" w:color="auto"/>
      </w:divBdr>
    </w:div>
    <w:div w:id="1256204912">
      <w:bodyDiv w:val="1"/>
      <w:marLeft w:val="0"/>
      <w:marRight w:val="0"/>
      <w:marTop w:val="0"/>
      <w:marBottom w:val="0"/>
      <w:divBdr>
        <w:top w:val="none" w:sz="0" w:space="0" w:color="auto"/>
        <w:left w:val="none" w:sz="0" w:space="0" w:color="auto"/>
        <w:bottom w:val="none" w:sz="0" w:space="0" w:color="auto"/>
        <w:right w:val="none" w:sz="0" w:space="0" w:color="auto"/>
      </w:divBdr>
    </w:div>
    <w:div w:id="1345747926">
      <w:bodyDiv w:val="1"/>
      <w:marLeft w:val="0"/>
      <w:marRight w:val="0"/>
      <w:marTop w:val="0"/>
      <w:marBottom w:val="0"/>
      <w:divBdr>
        <w:top w:val="none" w:sz="0" w:space="0" w:color="auto"/>
        <w:left w:val="none" w:sz="0" w:space="0" w:color="auto"/>
        <w:bottom w:val="none" w:sz="0" w:space="0" w:color="auto"/>
        <w:right w:val="none" w:sz="0" w:space="0" w:color="auto"/>
      </w:divBdr>
    </w:div>
    <w:div w:id="1380204038">
      <w:bodyDiv w:val="1"/>
      <w:marLeft w:val="0"/>
      <w:marRight w:val="0"/>
      <w:marTop w:val="0"/>
      <w:marBottom w:val="0"/>
      <w:divBdr>
        <w:top w:val="none" w:sz="0" w:space="0" w:color="auto"/>
        <w:left w:val="none" w:sz="0" w:space="0" w:color="auto"/>
        <w:bottom w:val="none" w:sz="0" w:space="0" w:color="auto"/>
        <w:right w:val="none" w:sz="0" w:space="0" w:color="auto"/>
      </w:divBdr>
    </w:div>
    <w:div w:id="1527938192">
      <w:bodyDiv w:val="1"/>
      <w:marLeft w:val="0"/>
      <w:marRight w:val="0"/>
      <w:marTop w:val="0"/>
      <w:marBottom w:val="0"/>
      <w:divBdr>
        <w:top w:val="none" w:sz="0" w:space="0" w:color="auto"/>
        <w:left w:val="none" w:sz="0" w:space="0" w:color="auto"/>
        <w:bottom w:val="none" w:sz="0" w:space="0" w:color="auto"/>
        <w:right w:val="none" w:sz="0" w:space="0" w:color="auto"/>
      </w:divBdr>
    </w:div>
    <w:div w:id="1573391272">
      <w:bodyDiv w:val="1"/>
      <w:marLeft w:val="0"/>
      <w:marRight w:val="0"/>
      <w:marTop w:val="0"/>
      <w:marBottom w:val="0"/>
      <w:divBdr>
        <w:top w:val="none" w:sz="0" w:space="0" w:color="auto"/>
        <w:left w:val="none" w:sz="0" w:space="0" w:color="auto"/>
        <w:bottom w:val="none" w:sz="0" w:space="0" w:color="auto"/>
        <w:right w:val="none" w:sz="0" w:space="0" w:color="auto"/>
      </w:divBdr>
    </w:div>
    <w:div w:id="1650355904">
      <w:bodyDiv w:val="1"/>
      <w:marLeft w:val="0"/>
      <w:marRight w:val="0"/>
      <w:marTop w:val="0"/>
      <w:marBottom w:val="0"/>
      <w:divBdr>
        <w:top w:val="none" w:sz="0" w:space="0" w:color="auto"/>
        <w:left w:val="none" w:sz="0" w:space="0" w:color="auto"/>
        <w:bottom w:val="none" w:sz="0" w:space="0" w:color="auto"/>
        <w:right w:val="none" w:sz="0" w:space="0" w:color="auto"/>
      </w:divBdr>
    </w:div>
    <w:div w:id="1674182711">
      <w:bodyDiv w:val="1"/>
      <w:marLeft w:val="0"/>
      <w:marRight w:val="0"/>
      <w:marTop w:val="0"/>
      <w:marBottom w:val="0"/>
      <w:divBdr>
        <w:top w:val="none" w:sz="0" w:space="0" w:color="auto"/>
        <w:left w:val="none" w:sz="0" w:space="0" w:color="auto"/>
        <w:bottom w:val="none" w:sz="0" w:space="0" w:color="auto"/>
        <w:right w:val="none" w:sz="0" w:space="0" w:color="auto"/>
      </w:divBdr>
    </w:div>
    <w:div w:id="1677540140">
      <w:bodyDiv w:val="1"/>
      <w:marLeft w:val="0"/>
      <w:marRight w:val="0"/>
      <w:marTop w:val="0"/>
      <w:marBottom w:val="0"/>
      <w:divBdr>
        <w:top w:val="none" w:sz="0" w:space="0" w:color="auto"/>
        <w:left w:val="none" w:sz="0" w:space="0" w:color="auto"/>
        <w:bottom w:val="none" w:sz="0" w:space="0" w:color="auto"/>
        <w:right w:val="none" w:sz="0" w:space="0" w:color="auto"/>
      </w:divBdr>
    </w:div>
    <w:div w:id="1696080869">
      <w:bodyDiv w:val="1"/>
      <w:marLeft w:val="0"/>
      <w:marRight w:val="0"/>
      <w:marTop w:val="0"/>
      <w:marBottom w:val="0"/>
      <w:divBdr>
        <w:top w:val="none" w:sz="0" w:space="0" w:color="auto"/>
        <w:left w:val="none" w:sz="0" w:space="0" w:color="auto"/>
        <w:bottom w:val="none" w:sz="0" w:space="0" w:color="auto"/>
        <w:right w:val="none" w:sz="0" w:space="0" w:color="auto"/>
      </w:divBdr>
    </w:div>
    <w:div w:id="1725329609">
      <w:bodyDiv w:val="1"/>
      <w:marLeft w:val="0"/>
      <w:marRight w:val="0"/>
      <w:marTop w:val="0"/>
      <w:marBottom w:val="0"/>
      <w:divBdr>
        <w:top w:val="none" w:sz="0" w:space="0" w:color="auto"/>
        <w:left w:val="none" w:sz="0" w:space="0" w:color="auto"/>
        <w:bottom w:val="none" w:sz="0" w:space="0" w:color="auto"/>
        <w:right w:val="none" w:sz="0" w:space="0" w:color="auto"/>
      </w:divBdr>
    </w:div>
    <w:div w:id="1737245553">
      <w:bodyDiv w:val="1"/>
      <w:marLeft w:val="0"/>
      <w:marRight w:val="0"/>
      <w:marTop w:val="0"/>
      <w:marBottom w:val="0"/>
      <w:divBdr>
        <w:top w:val="none" w:sz="0" w:space="0" w:color="auto"/>
        <w:left w:val="none" w:sz="0" w:space="0" w:color="auto"/>
        <w:bottom w:val="none" w:sz="0" w:space="0" w:color="auto"/>
        <w:right w:val="none" w:sz="0" w:space="0" w:color="auto"/>
      </w:divBdr>
    </w:div>
    <w:div w:id="1740980056">
      <w:bodyDiv w:val="1"/>
      <w:marLeft w:val="0"/>
      <w:marRight w:val="0"/>
      <w:marTop w:val="0"/>
      <w:marBottom w:val="0"/>
      <w:divBdr>
        <w:top w:val="none" w:sz="0" w:space="0" w:color="auto"/>
        <w:left w:val="none" w:sz="0" w:space="0" w:color="auto"/>
        <w:bottom w:val="none" w:sz="0" w:space="0" w:color="auto"/>
        <w:right w:val="none" w:sz="0" w:space="0" w:color="auto"/>
      </w:divBdr>
    </w:div>
    <w:div w:id="1790709388">
      <w:bodyDiv w:val="1"/>
      <w:marLeft w:val="0"/>
      <w:marRight w:val="0"/>
      <w:marTop w:val="0"/>
      <w:marBottom w:val="0"/>
      <w:divBdr>
        <w:top w:val="none" w:sz="0" w:space="0" w:color="auto"/>
        <w:left w:val="none" w:sz="0" w:space="0" w:color="auto"/>
        <w:bottom w:val="none" w:sz="0" w:space="0" w:color="auto"/>
        <w:right w:val="none" w:sz="0" w:space="0" w:color="auto"/>
      </w:divBdr>
    </w:div>
    <w:div w:id="1795950314">
      <w:bodyDiv w:val="1"/>
      <w:marLeft w:val="0"/>
      <w:marRight w:val="0"/>
      <w:marTop w:val="0"/>
      <w:marBottom w:val="0"/>
      <w:divBdr>
        <w:top w:val="none" w:sz="0" w:space="0" w:color="auto"/>
        <w:left w:val="none" w:sz="0" w:space="0" w:color="auto"/>
        <w:bottom w:val="none" w:sz="0" w:space="0" w:color="auto"/>
        <w:right w:val="none" w:sz="0" w:space="0" w:color="auto"/>
      </w:divBdr>
    </w:div>
    <w:div w:id="1799102463">
      <w:bodyDiv w:val="1"/>
      <w:marLeft w:val="0"/>
      <w:marRight w:val="0"/>
      <w:marTop w:val="0"/>
      <w:marBottom w:val="0"/>
      <w:divBdr>
        <w:top w:val="none" w:sz="0" w:space="0" w:color="auto"/>
        <w:left w:val="none" w:sz="0" w:space="0" w:color="auto"/>
        <w:bottom w:val="none" w:sz="0" w:space="0" w:color="auto"/>
        <w:right w:val="none" w:sz="0" w:space="0" w:color="auto"/>
      </w:divBdr>
    </w:div>
    <w:div w:id="1810633524">
      <w:bodyDiv w:val="1"/>
      <w:marLeft w:val="0"/>
      <w:marRight w:val="0"/>
      <w:marTop w:val="0"/>
      <w:marBottom w:val="0"/>
      <w:divBdr>
        <w:top w:val="none" w:sz="0" w:space="0" w:color="auto"/>
        <w:left w:val="none" w:sz="0" w:space="0" w:color="auto"/>
        <w:bottom w:val="none" w:sz="0" w:space="0" w:color="auto"/>
        <w:right w:val="none" w:sz="0" w:space="0" w:color="auto"/>
      </w:divBdr>
    </w:div>
    <w:div w:id="1812988325">
      <w:bodyDiv w:val="1"/>
      <w:marLeft w:val="0"/>
      <w:marRight w:val="0"/>
      <w:marTop w:val="0"/>
      <w:marBottom w:val="0"/>
      <w:divBdr>
        <w:top w:val="none" w:sz="0" w:space="0" w:color="auto"/>
        <w:left w:val="none" w:sz="0" w:space="0" w:color="auto"/>
        <w:bottom w:val="none" w:sz="0" w:space="0" w:color="auto"/>
        <w:right w:val="none" w:sz="0" w:space="0" w:color="auto"/>
      </w:divBdr>
    </w:div>
    <w:div w:id="1850825153">
      <w:bodyDiv w:val="1"/>
      <w:marLeft w:val="0"/>
      <w:marRight w:val="0"/>
      <w:marTop w:val="0"/>
      <w:marBottom w:val="0"/>
      <w:divBdr>
        <w:top w:val="none" w:sz="0" w:space="0" w:color="auto"/>
        <w:left w:val="none" w:sz="0" w:space="0" w:color="auto"/>
        <w:bottom w:val="none" w:sz="0" w:space="0" w:color="auto"/>
        <w:right w:val="none" w:sz="0" w:space="0" w:color="auto"/>
      </w:divBdr>
    </w:div>
    <w:div w:id="1858805776">
      <w:bodyDiv w:val="1"/>
      <w:marLeft w:val="0"/>
      <w:marRight w:val="0"/>
      <w:marTop w:val="0"/>
      <w:marBottom w:val="0"/>
      <w:divBdr>
        <w:top w:val="none" w:sz="0" w:space="0" w:color="auto"/>
        <w:left w:val="none" w:sz="0" w:space="0" w:color="auto"/>
        <w:bottom w:val="none" w:sz="0" w:space="0" w:color="auto"/>
        <w:right w:val="none" w:sz="0" w:space="0" w:color="auto"/>
      </w:divBdr>
    </w:div>
    <w:div w:id="1861316971">
      <w:bodyDiv w:val="1"/>
      <w:marLeft w:val="0"/>
      <w:marRight w:val="0"/>
      <w:marTop w:val="0"/>
      <w:marBottom w:val="0"/>
      <w:divBdr>
        <w:top w:val="none" w:sz="0" w:space="0" w:color="auto"/>
        <w:left w:val="none" w:sz="0" w:space="0" w:color="auto"/>
        <w:bottom w:val="none" w:sz="0" w:space="0" w:color="auto"/>
        <w:right w:val="none" w:sz="0" w:space="0" w:color="auto"/>
      </w:divBdr>
    </w:div>
    <w:div w:id="1869181090">
      <w:bodyDiv w:val="1"/>
      <w:marLeft w:val="0"/>
      <w:marRight w:val="0"/>
      <w:marTop w:val="0"/>
      <w:marBottom w:val="0"/>
      <w:divBdr>
        <w:top w:val="none" w:sz="0" w:space="0" w:color="auto"/>
        <w:left w:val="none" w:sz="0" w:space="0" w:color="auto"/>
        <w:bottom w:val="none" w:sz="0" w:space="0" w:color="auto"/>
        <w:right w:val="none" w:sz="0" w:space="0" w:color="auto"/>
      </w:divBdr>
    </w:div>
    <w:div w:id="1897928328">
      <w:bodyDiv w:val="1"/>
      <w:marLeft w:val="0"/>
      <w:marRight w:val="0"/>
      <w:marTop w:val="0"/>
      <w:marBottom w:val="0"/>
      <w:divBdr>
        <w:top w:val="none" w:sz="0" w:space="0" w:color="auto"/>
        <w:left w:val="none" w:sz="0" w:space="0" w:color="auto"/>
        <w:bottom w:val="none" w:sz="0" w:space="0" w:color="auto"/>
        <w:right w:val="none" w:sz="0" w:space="0" w:color="auto"/>
      </w:divBdr>
    </w:div>
    <w:div w:id="1922642947">
      <w:bodyDiv w:val="1"/>
      <w:marLeft w:val="0"/>
      <w:marRight w:val="0"/>
      <w:marTop w:val="0"/>
      <w:marBottom w:val="0"/>
      <w:divBdr>
        <w:top w:val="none" w:sz="0" w:space="0" w:color="auto"/>
        <w:left w:val="none" w:sz="0" w:space="0" w:color="auto"/>
        <w:bottom w:val="none" w:sz="0" w:space="0" w:color="auto"/>
        <w:right w:val="none" w:sz="0" w:space="0" w:color="auto"/>
      </w:divBdr>
    </w:div>
    <w:div w:id="1998146317">
      <w:bodyDiv w:val="1"/>
      <w:marLeft w:val="0"/>
      <w:marRight w:val="0"/>
      <w:marTop w:val="0"/>
      <w:marBottom w:val="0"/>
      <w:divBdr>
        <w:top w:val="none" w:sz="0" w:space="0" w:color="auto"/>
        <w:left w:val="none" w:sz="0" w:space="0" w:color="auto"/>
        <w:bottom w:val="none" w:sz="0" w:space="0" w:color="auto"/>
        <w:right w:val="none" w:sz="0" w:space="0" w:color="auto"/>
      </w:divBdr>
    </w:div>
    <w:div w:id="2011758870">
      <w:bodyDiv w:val="1"/>
      <w:marLeft w:val="0"/>
      <w:marRight w:val="0"/>
      <w:marTop w:val="0"/>
      <w:marBottom w:val="0"/>
      <w:divBdr>
        <w:top w:val="none" w:sz="0" w:space="0" w:color="auto"/>
        <w:left w:val="none" w:sz="0" w:space="0" w:color="auto"/>
        <w:bottom w:val="none" w:sz="0" w:space="0" w:color="auto"/>
        <w:right w:val="none" w:sz="0" w:space="0" w:color="auto"/>
      </w:divBdr>
    </w:div>
    <w:div w:id="2049452700">
      <w:bodyDiv w:val="1"/>
      <w:marLeft w:val="0"/>
      <w:marRight w:val="0"/>
      <w:marTop w:val="0"/>
      <w:marBottom w:val="0"/>
      <w:divBdr>
        <w:top w:val="none" w:sz="0" w:space="0" w:color="auto"/>
        <w:left w:val="none" w:sz="0" w:space="0" w:color="auto"/>
        <w:bottom w:val="none" w:sz="0" w:space="0" w:color="auto"/>
        <w:right w:val="none" w:sz="0" w:space="0" w:color="auto"/>
      </w:divBdr>
    </w:div>
    <w:div w:id="2050648065">
      <w:bodyDiv w:val="1"/>
      <w:marLeft w:val="0"/>
      <w:marRight w:val="0"/>
      <w:marTop w:val="0"/>
      <w:marBottom w:val="0"/>
      <w:divBdr>
        <w:top w:val="none" w:sz="0" w:space="0" w:color="auto"/>
        <w:left w:val="none" w:sz="0" w:space="0" w:color="auto"/>
        <w:bottom w:val="none" w:sz="0" w:space="0" w:color="auto"/>
        <w:right w:val="none" w:sz="0" w:space="0" w:color="auto"/>
      </w:divBdr>
    </w:div>
    <w:div w:id="2052219026">
      <w:bodyDiv w:val="1"/>
      <w:marLeft w:val="0"/>
      <w:marRight w:val="0"/>
      <w:marTop w:val="0"/>
      <w:marBottom w:val="0"/>
      <w:divBdr>
        <w:top w:val="none" w:sz="0" w:space="0" w:color="auto"/>
        <w:left w:val="none" w:sz="0" w:space="0" w:color="auto"/>
        <w:bottom w:val="none" w:sz="0" w:space="0" w:color="auto"/>
        <w:right w:val="none" w:sz="0" w:space="0" w:color="auto"/>
      </w:divBdr>
    </w:div>
    <w:div w:id="2086147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rus/docs/V160001461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7BDBF-70A7-43A7-B694-C205DB9D1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5089</Words>
  <Characters>29008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Ким Марина Борисовна</dc:creator>
  <cp:lastModifiedBy>Ким Марина Борисовна</cp:lastModifiedBy>
  <cp:revision>8</cp:revision>
  <cp:lastPrinted>2024-09-04T05:57:00Z</cp:lastPrinted>
  <dcterms:created xsi:type="dcterms:W3CDTF">2025-07-17T11:55:00Z</dcterms:created>
  <dcterms:modified xsi:type="dcterms:W3CDTF">2025-08-27T07:02:00Z</dcterms:modified>
</cp:coreProperties>
</file>